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2DC" w:rsidRPr="00987A59" w:rsidRDefault="00E332DC" w:rsidP="00E332DC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87A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Міністерство освіти і науки України</w:t>
      </w:r>
    </w:p>
    <w:p w:rsidR="00E332DC" w:rsidRPr="00987A59" w:rsidRDefault="00E332DC" w:rsidP="00E332DC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87A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Київський національний університет будівництва і архітектури</w:t>
      </w:r>
    </w:p>
    <w:p w:rsidR="00E332DC" w:rsidRPr="00987A59" w:rsidRDefault="00E332DC" w:rsidP="00E332DC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87A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Кафедра міського будівництва</w:t>
      </w:r>
    </w:p>
    <w:p w:rsidR="00E332DC" w:rsidRPr="00987A59" w:rsidRDefault="00E332DC" w:rsidP="00E332DC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E332DC" w:rsidRPr="00987A59" w:rsidRDefault="00E332DC" w:rsidP="00E332DC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E332DC" w:rsidRPr="00987A59" w:rsidRDefault="00E332DC" w:rsidP="00E332DC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E332DC" w:rsidRPr="00987A59" w:rsidRDefault="00E332DC" w:rsidP="00E332DC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E332DC" w:rsidRPr="00987A59" w:rsidRDefault="00E332DC" w:rsidP="00E332DC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E332DC" w:rsidRPr="00987A59" w:rsidRDefault="00E332DC" w:rsidP="00E332DC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87A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Курсовий проект</w:t>
      </w:r>
    </w:p>
    <w:p w:rsidR="00E332DC" w:rsidRPr="00987A59" w:rsidRDefault="00E332DC" w:rsidP="00E332DC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87A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«Інженерний благоустрій міських територій»</w:t>
      </w:r>
    </w:p>
    <w:p w:rsidR="00E332DC" w:rsidRPr="00987A59" w:rsidRDefault="00E332DC" w:rsidP="00E332DC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E332DC" w:rsidRPr="00987A59" w:rsidRDefault="00E332DC" w:rsidP="00E332DC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E332DC" w:rsidRPr="00987A59" w:rsidRDefault="00E332DC" w:rsidP="00E332DC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E332DC" w:rsidRPr="00987A59" w:rsidRDefault="00E332DC" w:rsidP="00E332DC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E332DC" w:rsidRPr="00987A59" w:rsidRDefault="00E332DC" w:rsidP="00E332DC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E332DC" w:rsidRPr="00987A59" w:rsidRDefault="00E332DC" w:rsidP="00E332DC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E332DC" w:rsidRPr="00987A59" w:rsidRDefault="00E332DC" w:rsidP="00E332DC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87A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Виконав:</w:t>
      </w:r>
    </w:p>
    <w:p w:rsidR="00E332DC" w:rsidRPr="00987A59" w:rsidRDefault="00E332DC" w:rsidP="00E332DC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87A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Студент гр. МБГ-51</w:t>
      </w:r>
    </w:p>
    <w:p w:rsidR="00E332DC" w:rsidRPr="00987A59" w:rsidRDefault="00E332DC" w:rsidP="00E332DC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87A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Жученко І.С.</w:t>
      </w:r>
    </w:p>
    <w:p w:rsidR="00E332DC" w:rsidRPr="00987A59" w:rsidRDefault="00E332DC" w:rsidP="00E332DC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87A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Перевірила:</w:t>
      </w:r>
    </w:p>
    <w:p w:rsidR="00E332DC" w:rsidRPr="00987A59" w:rsidRDefault="00E332DC" w:rsidP="00E332DC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87A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Доц. </w:t>
      </w:r>
      <w:proofErr w:type="spellStart"/>
      <w:r w:rsidRPr="00987A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Биваліна</w:t>
      </w:r>
      <w:proofErr w:type="spellEnd"/>
      <w:r w:rsidRPr="00987A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М.В.</w:t>
      </w:r>
    </w:p>
    <w:p w:rsidR="00E332DC" w:rsidRPr="00987A59" w:rsidRDefault="00E332DC" w:rsidP="00E332DC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E332DC" w:rsidRPr="00987A59" w:rsidRDefault="00E332DC" w:rsidP="00E332DC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E332DC" w:rsidRPr="00987A59" w:rsidRDefault="00E332DC" w:rsidP="00E332DC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E332DC" w:rsidRPr="00987A59" w:rsidRDefault="00E332DC" w:rsidP="00E332DC">
      <w:pPr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E332DC" w:rsidRPr="00987A59" w:rsidRDefault="00E332DC" w:rsidP="00E332DC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87A5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Київ - 2018</w:t>
      </w:r>
    </w:p>
    <w:p w:rsidR="00E332DC" w:rsidRPr="00987A59" w:rsidRDefault="00E332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7A5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lang w:val="uk-UA"/>
        </w:rPr>
        <w:id w:val="37596236"/>
        <w:docPartObj>
          <w:docPartGallery w:val="Table of Contents"/>
          <w:docPartUnique/>
        </w:docPartObj>
      </w:sdtPr>
      <w:sdtContent>
        <w:p w:rsidR="00E332DC" w:rsidRPr="00987A59" w:rsidRDefault="00E332DC" w:rsidP="00DA58F8">
          <w:pPr>
            <w:pStyle w:val="a4"/>
            <w:spacing w:before="0" w:line="360" w:lineRule="auto"/>
            <w:jc w:val="both"/>
            <w:rPr>
              <w:rFonts w:ascii="Times New Roman" w:eastAsiaTheme="minorHAnsi" w:hAnsi="Times New Roman" w:cs="Times New Roman"/>
              <w:b w:val="0"/>
              <w:bCs w:val="0"/>
              <w:color w:val="000000" w:themeColor="text1"/>
              <w:lang w:val="uk-UA"/>
            </w:rPr>
          </w:pPr>
        </w:p>
        <w:p w:rsidR="00EA2ADB" w:rsidRPr="00987A59" w:rsidRDefault="00E332DC" w:rsidP="00E332DC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lang w:val="uk-UA"/>
            </w:rPr>
          </w:pPr>
          <w:r w:rsidRPr="00987A59">
            <w:rPr>
              <w:rFonts w:ascii="Times New Roman" w:hAnsi="Times New Roman" w:cs="Times New Roman"/>
              <w:color w:val="000000" w:themeColor="text1"/>
              <w:lang w:val="uk-UA"/>
            </w:rPr>
            <w:t>Зміст</w:t>
          </w:r>
        </w:p>
        <w:p w:rsidR="00EA2ADB" w:rsidRPr="00987A59" w:rsidRDefault="008F4EA3" w:rsidP="00DA58F8">
          <w:pPr>
            <w:pStyle w:val="11"/>
            <w:tabs>
              <w:tab w:val="right" w:leader="dot" w:pos="9629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uk-UA"/>
            </w:rPr>
          </w:pPr>
          <w:r w:rsidRPr="00987A59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fldChar w:fldCharType="begin"/>
          </w:r>
          <w:r w:rsidR="00EA2ADB" w:rsidRPr="00987A59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instrText xml:space="preserve"> TOC \o "1-3" \h \z \u </w:instrText>
          </w:r>
          <w:r w:rsidRPr="00987A59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fldChar w:fldCharType="separate"/>
          </w:r>
          <w:hyperlink w:anchor="_Toc510468017" w:history="1">
            <w:r w:rsidR="00987A59" w:rsidRPr="00987A59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Вступ</w:t>
            </w:r>
          </w:hyperlink>
        </w:p>
        <w:p w:rsidR="00EA2ADB" w:rsidRPr="00987A59" w:rsidRDefault="00E332DC" w:rsidP="00DA58F8">
          <w:pPr>
            <w:pStyle w:val="11"/>
            <w:tabs>
              <w:tab w:val="right" w:leader="dot" w:pos="9629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uk-UA"/>
            </w:rPr>
          </w:pPr>
          <w:hyperlink w:anchor="_Toc510468018" w:history="1">
            <w:r w:rsidR="00987A59" w:rsidRPr="00987A59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 Аналіз стану навколишнього середовища та  містобудівні заходи щодо покращення комфортності території</w:t>
            </w:r>
          </w:hyperlink>
        </w:p>
        <w:p w:rsidR="00EA2ADB" w:rsidRPr="00987A59" w:rsidRDefault="00E332DC" w:rsidP="00DA58F8">
          <w:pPr>
            <w:pStyle w:val="11"/>
            <w:tabs>
              <w:tab w:val="right" w:leader="dot" w:pos="9629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uk-UA"/>
            </w:rPr>
          </w:pPr>
          <w:hyperlink w:anchor="_Toc510468019" w:history="1">
            <w:r w:rsidR="00EA2ADB" w:rsidRPr="00987A59">
              <w:rPr>
                <w:rStyle w:val="a7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1.1. Шумовий режим території, протишумові заходи</w:t>
            </w:r>
          </w:hyperlink>
        </w:p>
        <w:p w:rsidR="00EA2ADB" w:rsidRPr="00987A59" w:rsidRDefault="00E332DC" w:rsidP="00DA58F8">
          <w:pPr>
            <w:pStyle w:val="11"/>
            <w:tabs>
              <w:tab w:val="right" w:leader="dot" w:pos="9629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uk-UA"/>
            </w:rPr>
          </w:pPr>
          <w:hyperlink w:anchor="_Toc510468020" w:history="1">
            <w:r w:rsidR="00987A59" w:rsidRPr="00987A59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1.2. Оцінка забруднення повітря, газозахисні заходи</w:t>
            </w:r>
          </w:hyperlink>
        </w:p>
        <w:p w:rsidR="00EA2ADB" w:rsidRPr="00987A59" w:rsidRDefault="00E332DC" w:rsidP="00DA58F8">
          <w:pPr>
            <w:pStyle w:val="11"/>
            <w:tabs>
              <w:tab w:val="right" w:leader="dot" w:pos="9629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uk-UA"/>
            </w:rPr>
          </w:pPr>
          <w:hyperlink w:anchor="_Toc510468021" w:history="1">
            <w:r w:rsidR="00987A59" w:rsidRPr="00987A59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1.3. Інсоляційний режим території, заходи щодо покращення інсоляції території</w:t>
            </w:r>
          </w:hyperlink>
        </w:p>
        <w:p w:rsidR="00EA2ADB" w:rsidRPr="00987A59" w:rsidRDefault="00E332DC" w:rsidP="00DA58F8">
          <w:pPr>
            <w:pStyle w:val="11"/>
            <w:tabs>
              <w:tab w:val="right" w:leader="dot" w:pos="9629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uk-UA"/>
            </w:rPr>
          </w:pPr>
          <w:hyperlink w:anchor="_Toc510468022" w:history="1">
            <w:r w:rsidR="00987A59" w:rsidRPr="00987A59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1.4. Аераційний режим території, заходи щодо вітрозахисту і провітрювання</w:t>
            </w:r>
          </w:hyperlink>
        </w:p>
        <w:p w:rsidR="00EA2ADB" w:rsidRPr="00987A59" w:rsidRDefault="00E332DC" w:rsidP="00DA58F8">
          <w:pPr>
            <w:pStyle w:val="11"/>
            <w:tabs>
              <w:tab w:val="right" w:leader="dot" w:pos="9629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uk-UA"/>
            </w:rPr>
          </w:pPr>
          <w:hyperlink w:anchor="_Toc510468023" w:history="1">
            <w:r w:rsidR="00987A59" w:rsidRPr="00987A59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1.5. Комплексна оцінка умов комфортності території</w:t>
            </w:r>
          </w:hyperlink>
        </w:p>
        <w:p w:rsidR="00EA2ADB" w:rsidRPr="00987A59" w:rsidRDefault="00E332DC" w:rsidP="00DA58F8">
          <w:pPr>
            <w:pStyle w:val="11"/>
            <w:tabs>
              <w:tab w:val="right" w:leader="dot" w:pos="9629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uk-UA"/>
            </w:rPr>
          </w:pPr>
          <w:hyperlink w:anchor="_Toc510468024" w:history="1">
            <w:r w:rsidR="00987A59" w:rsidRPr="00987A59">
              <w:rPr>
                <w:rStyle w:val="a7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2. Інженерний благоустрій території</w:t>
            </w:r>
          </w:hyperlink>
        </w:p>
        <w:p w:rsidR="00EA2ADB" w:rsidRPr="00987A59" w:rsidRDefault="00E332DC" w:rsidP="00DA58F8">
          <w:pPr>
            <w:pStyle w:val="11"/>
            <w:tabs>
              <w:tab w:val="right" w:leader="dot" w:pos="9629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uk-UA"/>
            </w:rPr>
          </w:pPr>
          <w:hyperlink w:anchor="_Toc510468025" w:history="1">
            <w:r w:rsidR="00987A59" w:rsidRPr="00987A59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2.1. Проїзди, пішохідні шляхи</w:t>
            </w:r>
          </w:hyperlink>
        </w:p>
        <w:p w:rsidR="00EA2ADB" w:rsidRPr="00987A59" w:rsidRDefault="00E332DC" w:rsidP="00DA58F8">
          <w:pPr>
            <w:pStyle w:val="11"/>
            <w:tabs>
              <w:tab w:val="right" w:leader="dot" w:pos="9629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uk-UA"/>
            </w:rPr>
          </w:pPr>
          <w:hyperlink w:anchor="_Toc510468026" w:history="1">
            <w:r w:rsidR="00987A59" w:rsidRPr="00987A59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2.2. Проектування майданчиків різного призначення</w:t>
            </w:r>
          </w:hyperlink>
        </w:p>
        <w:p w:rsidR="00EA2ADB" w:rsidRPr="00987A59" w:rsidRDefault="00E332DC" w:rsidP="00DA58F8">
          <w:pPr>
            <w:pStyle w:val="11"/>
            <w:tabs>
              <w:tab w:val="right" w:leader="dot" w:pos="9629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uk-UA"/>
            </w:rPr>
          </w:pPr>
          <w:hyperlink w:anchor="_Toc510468027" w:history="1">
            <w:r w:rsidR="00987A59" w:rsidRPr="00987A59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2.3. Озеленення території</w:t>
            </w:r>
          </w:hyperlink>
        </w:p>
        <w:p w:rsidR="00EA2ADB" w:rsidRPr="00987A59" w:rsidRDefault="00E332DC" w:rsidP="00DA58F8">
          <w:pPr>
            <w:pStyle w:val="11"/>
            <w:tabs>
              <w:tab w:val="right" w:leader="dot" w:pos="9629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uk-UA"/>
            </w:rPr>
          </w:pPr>
          <w:hyperlink w:anchor="_Toc510468028" w:history="1">
            <w:r w:rsidR="00987A59" w:rsidRPr="00987A59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2.4. Техніко-економічні показники та баланс території</w:t>
            </w:r>
          </w:hyperlink>
        </w:p>
        <w:p w:rsidR="00EA2ADB" w:rsidRPr="00987A59" w:rsidRDefault="00E332DC" w:rsidP="00DA58F8">
          <w:pPr>
            <w:pStyle w:val="11"/>
            <w:tabs>
              <w:tab w:val="right" w:leader="dot" w:pos="9629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uk-UA"/>
            </w:rPr>
          </w:pPr>
          <w:hyperlink w:anchor="_Toc510468029" w:history="1">
            <w:r w:rsidR="00987A59" w:rsidRPr="00987A59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uk-UA"/>
              </w:rPr>
              <w:t>список літератури</w:t>
            </w:r>
          </w:hyperlink>
        </w:p>
        <w:p w:rsidR="00EA2ADB" w:rsidRPr="00987A59" w:rsidRDefault="008F4EA3" w:rsidP="00DA58F8">
          <w:pPr>
            <w:spacing w:after="0"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987A59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fldChar w:fldCharType="end"/>
          </w:r>
        </w:p>
      </w:sdtContent>
    </w:sdt>
    <w:p w:rsidR="00EA2ADB" w:rsidRPr="00987A59" w:rsidRDefault="00EA2ADB" w:rsidP="00DA58F8">
      <w:pPr>
        <w:spacing w:after="0" w:line="360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A2ADB" w:rsidRPr="00987A59" w:rsidRDefault="00987A59" w:rsidP="00DA58F8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0" w:name="_Toc510468017"/>
      <w:r w:rsidRPr="00987A59">
        <w:rPr>
          <w:rFonts w:ascii="Times New Roman" w:hAnsi="Times New Roman" w:cs="Times New Roman"/>
          <w:color w:val="000000" w:themeColor="text1"/>
        </w:rPr>
        <w:lastRenderedPageBreak/>
        <w:t>Вступ</w:t>
      </w:r>
      <w:bookmarkEnd w:id="0"/>
    </w:p>
    <w:p w:rsidR="00EA2ADB" w:rsidRPr="00987A59" w:rsidRDefault="00EA2ADB" w:rsidP="00DA58F8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Метою курсового проекту є засвоєння теоретичних знань, отриманих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під час прослуховування курсу лекцій "Інженерний благоустрій міських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територій", самостійного вивчення предмету та набуття практичних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навичок визначення критеріїв та оцінки умов комфортності міського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середовища та інженерного благоустрою міських територій</w:t>
      </w:r>
    </w:p>
    <w:p w:rsidR="00EA2ADB" w:rsidRPr="00987A59" w:rsidRDefault="00EA2ADB" w:rsidP="00DA58F8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Задачі курсового проекту:</w:t>
      </w:r>
    </w:p>
    <w:p w:rsidR="00EA2ADB" w:rsidRPr="00987A59" w:rsidRDefault="00EA2ADB" w:rsidP="00DA58F8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1) ознайомлення з існуючими методиками комплексної оцінки рівня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комфортності міського середовища (оцінка рівня шуму, загазованості,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аерації та інсоляційного режиму); ознайомлення з містобудівними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заходами щодо підвищення рівня комфортності міських територій;</w:t>
      </w:r>
    </w:p>
    <w:p w:rsidR="00EA2ADB" w:rsidRPr="00987A59" w:rsidRDefault="00EA2ADB" w:rsidP="00DA58F8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2) формування навичок визначення рівня інженерного благоустрою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житлових територій, організації руху транспорту та пішоходів, озеленення.</w:t>
      </w:r>
    </w:p>
    <w:p w:rsidR="00EA2ADB" w:rsidRPr="00987A59" w:rsidRDefault="00EA2ADB" w:rsidP="00DA58F8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Курсовий проект передбачає проектування комплексного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інженерного благоустрою міських територій на основі діючих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нормативних вимог,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пофакторної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оцінки стану навколишнього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середовища, що проектується, в умовах нового будівництва та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реконструкції існуючої забудови, транспортної ситуації на прилеглих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вулицях, кліматичних, ґрунтових та гідрогеологічних особливостей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території благоустрою. Опрацювання містобудівних заходів, які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поліпшують комфортність території за газо-шумовим, аераційним,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інсоляційним режимами.</w:t>
      </w:r>
    </w:p>
    <w:p w:rsidR="00EA2ADB" w:rsidRPr="00987A59" w:rsidRDefault="00EA2ADB" w:rsidP="00DA58F8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Оцінка умов комфортності міських територій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грунтується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аналізі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окремих найбільш значущих факторів санітарно-гігієнічного та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екологічного стану довкілля, пов'язаних із життєдіяльністю людини та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природно-кліматичними умовами регіону. Такими значущими факторами є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шумовий режим та забрудненість атмосферного повітря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сельбищної</w:t>
      </w:r>
      <w:proofErr w:type="spellEnd"/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території, провітрювання, освітлення сонячним промінням та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температурний режим території житлової забудови.</w:t>
      </w:r>
    </w:p>
    <w:p w:rsidR="00EA2ADB" w:rsidRPr="00987A59" w:rsidRDefault="00EA2ADB" w:rsidP="00DA58F8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Оцінка умов комфортності міських територій здійснюється шляхом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визначення прогнозованих показників (рівнів) значущих факторів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санітарно-гігієнічного та екологічного стану довкілля у розрахункових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точках міської території та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порівнянням їх із гранично допустимими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значеннями, регламентованих чинними нормативами. Оцінці підлягає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існуючий та перспективний стан довкілля міських територій.</w:t>
      </w:r>
    </w:p>
    <w:p w:rsidR="00EA2ADB" w:rsidRPr="00987A59" w:rsidRDefault="00EA2ADB" w:rsidP="00DA58F8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Основою оцінки умов комфортності є карти, які розроблюються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графоаналітичним методом у вигляді ліній, що з'єднують точки на плані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міської території з однаковими значеннями певної величини значущих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факторів. Такі карти можуть відображати характер поширення кожного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значущого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фактора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всю територію, що підлягає оцінці, або тільки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контур проникнення на цю територію його величини, що перевищує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гранично допустиме значення.</w:t>
      </w:r>
    </w:p>
    <w:p w:rsidR="005A0345" w:rsidRPr="00987A59" w:rsidRDefault="00EA2ADB" w:rsidP="00DA58F8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Комфортними умовами міських територій вважаються такі, за якими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прогнозовані показники значущих факторів санітарно-гігієнічного та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екологічного стану довкілля не перевищують гранично допустимі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t>значення.</w:t>
      </w:r>
    </w:p>
    <w:p w:rsidR="00D7110A" w:rsidRPr="00987A59" w:rsidRDefault="00D7110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510468018"/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31030A" w:rsidRPr="00987A59" w:rsidRDefault="0031030A" w:rsidP="00DA58F8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87A59">
        <w:rPr>
          <w:rFonts w:ascii="Times New Roman" w:hAnsi="Times New Roman" w:cs="Times New Roman"/>
          <w:color w:val="000000" w:themeColor="text1"/>
        </w:rPr>
        <w:lastRenderedPageBreak/>
        <w:t xml:space="preserve">1. </w:t>
      </w:r>
      <w:r w:rsidR="00987A59" w:rsidRPr="00987A59">
        <w:rPr>
          <w:rFonts w:ascii="Times New Roman" w:hAnsi="Times New Roman" w:cs="Times New Roman"/>
          <w:color w:val="000000" w:themeColor="text1"/>
        </w:rPr>
        <w:t>Аналіз стану навколишнього середовища</w:t>
      </w:r>
      <w:r w:rsidR="00EA2ADB" w:rsidRPr="00987A59">
        <w:rPr>
          <w:rFonts w:ascii="Times New Roman" w:hAnsi="Times New Roman" w:cs="Times New Roman"/>
          <w:color w:val="000000" w:themeColor="text1"/>
        </w:rPr>
        <w:t xml:space="preserve"> </w:t>
      </w:r>
      <w:r w:rsidR="00987A59" w:rsidRPr="00987A59">
        <w:rPr>
          <w:rFonts w:ascii="Times New Roman" w:hAnsi="Times New Roman" w:cs="Times New Roman"/>
          <w:color w:val="000000" w:themeColor="text1"/>
        </w:rPr>
        <w:t>та  містобудівні заходи щодо покращення</w:t>
      </w:r>
      <w:r w:rsidR="00EA2ADB" w:rsidRPr="00987A59">
        <w:rPr>
          <w:rFonts w:ascii="Times New Roman" w:hAnsi="Times New Roman" w:cs="Times New Roman"/>
          <w:color w:val="000000" w:themeColor="text1"/>
        </w:rPr>
        <w:t xml:space="preserve"> </w:t>
      </w:r>
      <w:r w:rsidR="00987A59" w:rsidRPr="00987A59">
        <w:rPr>
          <w:rFonts w:ascii="Times New Roman" w:hAnsi="Times New Roman" w:cs="Times New Roman"/>
          <w:color w:val="000000" w:themeColor="text1"/>
        </w:rPr>
        <w:t>комфортності території</w:t>
      </w:r>
      <w:bookmarkEnd w:id="1"/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</w:pPr>
    </w:p>
    <w:p w:rsidR="0031030A" w:rsidRPr="00987A59" w:rsidRDefault="0031030A" w:rsidP="00DA58F8">
      <w:pPr>
        <w:pStyle w:val="1"/>
        <w:spacing w:before="0" w:line="360" w:lineRule="auto"/>
        <w:jc w:val="both"/>
        <w:rPr>
          <w:rFonts w:ascii="Times New Roman" w:eastAsia="Times New Roman" w:hAnsi="Times New Roman" w:cs="Times New Roman"/>
          <w:color w:val="auto"/>
          <w:lang w:eastAsia="uk-UA"/>
        </w:rPr>
      </w:pPr>
      <w:bookmarkStart w:id="2" w:name="_Toc510468019"/>
      <w:r w:rsidRPr="00987A59">
        <w:rPr>
          <w:rFonts w:ascii="Times New Roman" w:eastAsia="Times New Roman" w:hAnsi="Times New Roman" w:cs="Times New Roman"/>
          <w:color w:val="auto"/>
          <w:lang w:eastAsia="uk-UA"/>
        </w:rPr>
        <w:t>1.1. Шумовий режим території, протишумові заходи</w:t>
      </w:r>
      <w:bookmarkEnd w:id="2"/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sz w:val="28"/>
          <w:szCs w:val="28"/>
          <w:lang w:eastAsia="uk-UA"/>
        </w:rPr>
        <w:t>Шумові характеристики джерел зовнішнього шуму у містах.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sz w:val="28"/>
          <w:szCs w:val="28"/>
          <w:lang w:eastAsia="uk-UA"/>
        </w:rPr>
        <w:t>До основних джерел зовнішнього шуму у містах належать: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sz w:val="28"/>
          <w:szCs w:val="28"/>
          <w:lang w:eastAsia="uk-UA"/>
        </w:rPr>
        <w:t>– потоки усіх видів наземного автомобільного та рейкового</w:t>
      </w:r>
      <w:r w:rsidR="008B1D07" w:rsidRPr="00987A59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sz w:val="28"/>
          <w:szCs w:val="28"/>
          <w:lang w:eastAsia="uk-UA"/>
        </w:rPr>
        <w:t>транспорту;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sz w:val="28"/>
          <w:szCs w:val="28"/>
          <w:lang w:eastAsia="uk-UA"/>
        </w:rPr>
        <w:t>– авіаційний транспорт в аеропортах та зонах повітряних трас</w:t>
      </w:r>
      <w:r w:rsidR="008B1D07" w:rsidRPr="00987A59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sz w:val="28"/>
          <w:szCs w:val="28"/>
          <w:lang w:eastAsia="uk-UA"/>
        </w:rPr>
        <w:t>аеродромів;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sz w:val="28"/>
          <w:szCs w:val="28"/>
          <w:lang w:eastAsia="uk-UA"/>
        </w:rPr>
        <w:t>– промислові підприємства та окреме устаткування;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sz w:val="28"/>
          <w:szCs w:val="28"/>
          <w:lang w:eastAsia="uk-UA"/>
        </w:rPr>
        <w:t>– майданчики вантажно-розвантажувальних робіт об'єктів транспорту,</w:t>
      </w:r>
      <w:r w:rsidR="008B1D07" w:rsidRPr="00987A59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sz w:val="28"/>
          <w:szCs w:val="28"/>
          <w:lang w:eastAsia="uk-UA"/>
        </w:rPr>
        <w:t>торговельних, комунально-побутових та інших підприємств і установ;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sz w:val="28"/>
          <w:szCs w:val="28"/>
          <w:lang w:eastAsia="uk-UA"/>
        </w:rPr>
        <w:t>– відкриті спортивні споруди та ігрові майданчики;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sz w:val="28"/>
          <w:szCs w:val="28"/>
          <w:lang w:eastAsia="uk-UA"/>
        </w:rPr>
        <w:t>– машини, механізми та технологічне устаткування, що виконують</w:t>
      </w:r>
      <w:r w:rsidR="008B1D07" w:rsidRPr="00987A59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sz w:val="28"/>
          <w:szCs w:val="28"/>
          <w:lang w:eastAsia="uk-UA"/>
        </w:rPr>
        <w:t>роботи з будівництва, ремонту, прибирання та благоустрою міських територій.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sz w:val="28"/>
          <w:szCs w:val="28"/>
          <w:lang w:eastAsia="uk-UA"/>
        </w:rPr>
        <w:t>Транспортні потоки на магістральних вулицях та дорогах і залізничні</w:t>
      </w:r>
      <w:r w:rsidR="008B1D07" w:rsidRPr="00987A5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sz w:val="28"/>
          <w:szCs w:val="28"/>
          <w:lang w:eastAsia="uk-UA"/>
        </w:rPr>
        <w:t>потяги у русі розглядаються як лінійні джерела зовнішнього шуму у</w:t>
      </w:r>
      <w:r w:rsidR="008B1D07" w:rsidRPr="00987A5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sz w:val="28"/>
          <w:szCs w:val="28"/>
          <w:lang w:eastAsia="uk-UA"/>
        </w:rPr>
        <w:t>містах, а всі інші – як локальні.</w:t>
      </w:r>
    </w:p>
    <w:p w:rsidR="0031030A" w:rsidRPr="00987A59" w:rsidRDefault="00987A59" w:rsidP="00DA58F8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b/>
          <w:sz w:val="28"/>
          <w:szCs w:val="28"/>
          <w:lang w:eastAsia="uk-UA"/>
        </w:rPr>
        <w:t>Протишумові заходи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sz w:val="28"/>
          <w:szCs w:val="28"/>
          <w:lang w:eastAsia="uk-UA"/>
        </w:rPr>
        <w:t>Шумозахист, як важлива містобудівна задача, повинен вирішуватись</w:t>
      </w:r>
      <w:r w:rsidR="008B1D07" w:rsidRPr="00987A5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sz w:val="28"/>
          <w:szCs w:val="28"/>
          <w:lang w:eastAsia="uk-UA"/>
        </w:rPr>
        <w:t>у комплексі робіт з планування, забудови і благоустрою міських територій.</w:t>
      </w:r>
      <w:r w:rsidR="008B1D07" w:rsidRPr="00987A5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sz w:val="28"/>
          <w:szCs w:val="28"/>
          <w:lang w:eastAsia="uk-UA"/>
        </w:rPr>
        <w:t>Комфортність території за шумовим режимом може бути досягнута</w:t>
      </w:r>
      <w:r w:rsidR="008B1D07" w:rsidRPr="00987A59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sz w:val="28"/>
          <w:szCs w:val="28"/>
          <w:lang w:eastAsia="uk-UA"/>
        </w:rPr>
        <w:t>проведенням різноманітних заходів, що впливають на зниження рівня</w:t>
      </w:r>
      <w:r w:rsidR="008B1D07" w:rsidRPr="00987A59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sz w:val="28"/>
          <w:szCs w:val="28"/>
          <w:lang w:eastAsia="uk-UA"/>
        </w:rPr>
        <w:t>шуму. Усі рішення з шумозахисту варто перевіряти розрахунком</w:t>
      </w:r>
      <w:r w:rsidR="008B1D07" w:rsidRPr="00987A59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sz w:val="28"/>
          <w:szCs w:val="28"/>
          <w:lang w:eastAsia="uk-UA"/>
        </w:rPr>
        <w:t>ефективності зниження рівня шуму.</w:t>
      </w:r>
    </w:p>
    <w:p w:rsidR="005A0345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987A59">
        <w:rPr>
          <w:rFonts w:ascii="Times New Roman" w:hAnsi="Times New Roman" w:cs="Times New Roman"/>
          <w:sz w:val="28"/>
          <w:szCs w:val="28"/>
          <w:lang w:eastAsia="uk-UA"/>
        </w:rPr>
        <w:t>При заданому планувальному рішенні на житловій території</w:t>
      </w:r>
      <w:r w:rsidR="008B1D07" w:rsidRPr="00987A5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sz w:val="28"/>
          <w:szCs w:val="28"/>
          <w:lang w:eastAsia="uk-UA"/>
        </w:rPr>
        <w:t>зниження рівня шуму можна досягти застосуванням шумозахисного</w:t>
      </w:r>
      <w:r w:rsidR="008B1D07" w:rsidRPr="00987A5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sz w:val="28"/>
          <w:szCs w:val="28"/>
          <w:lang w:eastAsia="uk-UA"/>
        </w:rPr>
        <w:t>екранування, озеленення і раціональним розміщенням шумних об'єктів і</w:t>
      </w:r>
      <w:r w:rsidR="008B1D07" w:rsidRPr="00987A5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sz w:val="28"/>
          <w:szCs w:val="28"/>
          <w:lang w:eastAsia="uk-UA"/>
        </w:rPr>
        <w:t>об'єктів, що захищаються від шуму.</w:t>
      </w:r>
      <w:r w:rsidR="008B1D07" w:rsidRPr="00987A5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sz w:val="28"/>
          <w:szCs w:val="28"/>
          <w:lang w:eastAsia="uk-UA"/>
        </w:rPr>
        <w:t>Ефективність зниження рівнів шуму захисними смугами зелених</w:t>
      </w:r>
      <w:r w:rsidR="008B1D07" w:rsidRPr="00987A59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sz w:val="28"/>
          <w:szCs w:val="28"/>
          <w:lang w:eastAsia="uk-UA"/>
        </w:rPr>
        <w:t>насаджень (коефіцієнт ажурності 0,8-0,9; висота смуги не менше 5-6 м),</w:t>
      </w:r>
      <w:r w:rsidR="008B1D07" w:rsidRPr="00987A59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sz w:val="28"/>
          <w:szCs w:val="28"/>
          <w:lang w:eastAsia="uk-UA"/>
        </w:rPr>
        <w:t xml:space="preserve">забудовою та елементами рельєфу наведена в </w:t>
      </w:r>
      <w:proofErr w:type="spellStart"/>
      <w:r w:rsidRPr="00987A59">
        <w:rPr>
          <w:rFonts w:ascii="Times New Roman" w:hAnsi="Times New Roman" w:cs="Times New Roman"/>
          <w:sz w:val="28"/>
          <w:szCs w:val="28"/>
          <w:lang w:eastAsia="uk-UA"/>
        </w:rPr>
        <w:t>табл</w:t>
      </w:r>
      <w:r w:rsidR="005A0345" w:rsidRPr="00987A59">
        <w:rPr>
          <w:rFonts w:ascii="Times New Roman" w:hAnsi="Times New Roman" w:cs="Times New Roman"/>
          <w:sz w:val="28"/>
          <w:szCs w:val="28"/>
          <w:lang w:val="ru-RU" w:eastAsia="uk-UA"/>
        </w:rPr>
        <w:t>иці</w:t>
      </w:r>
      <w:proofErr w:type="spellEnd"/>
      <w:r w:rsidR="00987A59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1</w:t>
      </w:r>
      <w:r w:rsidR="008B1D07" w:rsidRPr="00987A59">
        <w:rPr>
          <w:rFonts w:ascii="Times New Roman" w:hAnsi="Times New Roman" w:cs="Times New Roman"/>
          <w:sz w:val="28"/>
          <w:szCs w:val="28"/>
          <w:lang w:val="ru-RU" w:eastAsia="uk-UA"/>
        </w:rPr>
        <w:t>.</w:t>
      </w:r>
    </w:p>
    <w:p w:rsidR="0000733B" w:rsidRDefault="0000733B" w:rsidP="00987A59">
      <w:pPr>
        <w:pStyle w:val="a3"/>
        <w:spacing w:line="360" w:lineRule="auto"/>
        <w:ind w:firstLine="851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 w:eastAsia="uk-UA"/>
        </w:rPr>
      </w:pPr>
    </w:p>
    <w:p w:rsidR="00987A59" w:rsidRPr="00987A59" w:rsidRDefault="00987A59" w:rsidP="00987A59">
      <w:pPr>
        <w:pStyle w:val="a3"/>
        <w:spacing w:line="360" w:lineRule="auto"/>
        <w:ind w:firstLine="851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 w:eastAsia="uk-UA"/>
        </w:rPr>
      </w:pPr>
      <w:proofErr w:type="spellStart"/>
      <w:r w:rsidRPr="00987A59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uk-UA"/>
        </w:rPr>
        <w:lastRenderedPageBreak/>
        <w:t>Табл</w:t>
      </w:r>
      <w:r w:rsidRPr="00987A59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 w:eastAsia="uk-UA"/>
        </w:rPr>
        <w:t>иця</w:t>
      </w:r>
      <w:proofErr w:type="spellEnd"/>
      <w:r w:rsidRPr="00987A59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 w:eastAsia="uk-UA"/>
        </w:rPr>
        <w:t xml:space="preserve"> – </w:t>
      </w:r>
      <w:r w:rsidR="0000733B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 w:eastAsia="uk-UA"/>
        </w:rPr>
        <w:t>1</w:t>
      </w:r>
    </w:p>
    <w:p w:rsidR="0031030A" w:rsidRPr="00987A59" w:rsidRDefault="00E332DC" w:rsidP="00E332DC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Зменшення рівня звуку  внаслідок поглинання шуму щільними смугами зелених насаджень , котрі мають зімкнені крони і заповнені кущами штамби дерев, використані при проектуванні наведено у таблиці 2</w:t>
      </w:r>
      <w:r w:rsidRPr="00987A59">
        <w:rPr>
          <w:rFonts w:ascii="Times New Roman" w:hAnsi="Times New Roman" w:cs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15pt;margin-top:.55pt;width:502.45pt;height:342.95pt;z-index:251660288;mso-position-horizontal-relative:text;mso-position-vertical-relative:text">
            <v:imagedata r:id="rId5" o:title="табл35"/>
            <w10:wrap type="topAndBottom"/>
          </v:shape>
        </w:pic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.</w:t>
      </w:r>
    </w:p>
    <w:p w:rsidR="00E332DC" w:rsidRPr="00987A59" w:rsidRDefault="00E332DC" w:rsidP="00E332DC">
      <w:pPr>
        <w:pStyle w:val="a3"/>
        <w:spacing w:line="360" w:lineRule="auto"/>
        <w:ind w:firstLine="851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 w:eastAsia="uk-UA"/>
        </w:rPr>
      </w:pPr>
      <w:proofErr w:type="spellStart"/>
      <w:r w:rsidRPr="00987A59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uk-UA"/>
        </w:rPr>
        <w:t>Табл</w:t>
      </w:r>
      <w:r w:rsidRPr="00987A59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 w:eastAsia="uk-UA"/>
        </w:rPr>
        <w:t>иця</w:t>
      </w:r>
      <w:proofErr w:type="spellEnd"/>
      <w:r w:rsidRPr="00987A59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 w:eastAsia="uk-UA"/>
        </w:rPr>
        <w:t xml:space="preserve"> – 2</w:t>
      </w:r>
    </w:p>
    <w:p w:rsidR="00E332DC" w:rsidRPr="00987A59" w:rsidRDefault="00E332DC" w:rsidP="00E332DC">
      <w:pPr>
        <w:pStyle w:val="a3"/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04CCFAC6" wp14:editId="46BD2CFC">
            <wp:extent cx="5213523" cy="1816924"/>
            <wp:effectExtent l="19050" t="0" r="6177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1503" t="28615" r="31771" b="45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344" cy="1822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10A" w:rsidRPr="00987A59" w:rsidRDefault="00D7110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eastAsia="uk-UA"/>
        </w:rPr>
      </w:pPr>
      <w:bookmarkStart w:id="3" w:name="_Toc510468020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 w:type="page"/>
      </w:r>
    </w:p>
    <w:p w:rsidR="00EA2ADB" w:rsidRPr="00987A59" w:rsidRDefault="00EA2ADB" w:rsidP="00DA58F8">
      <w:pPr>
        <w:pStyle w:val="1"/>
        <w:spacing w:before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lang w:eastAsia="uk-UA"/>
        </w:rPr>
        <w:lastRenderedPageBreak/>
        <w:t xml:space="preserve">1.2. </w:t>
      </w:r>
      <w:r w:rsidR="0000733B" w:rsidRPr="00987A59">
        <w:rPr>
          <w:rFonts w:ascii="Times New Roman" w:hAnsi="Times New Roman" w:cs="Times New Roman"/>
          <w:color w:val="000000" w:themeColor="text1"/>
          <w:lang w:eastAsia="uk-UA"/>
        </w:rPr>
        <w:t>Оцінка забруднення повітря, газозахисні заходи</w:t>
      </w:r>
      <w:bookmarkEnd w:id="3"/>
    </w:p>
    <w:p w:rsidR="00EA2ADB" w:rsidRPr="00987A59" w:rsidRDefault="00EA2ADB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Забрудненість повітря вихлопними газами автомобілів виражається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показником концентрації окису вуглецю в приземному шарі атмосфери на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території житлової забудови.</w:t>
      </w:r>
    </w:p>
    <w:p w:rsidR="00EA2ADB" w:rsidRPr="00987A59" w:rsidRDefault="00EA2ADB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Для визначення рівнів загазованості повітря вихлопними газами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автомобілів використовують розрахунковий метод.</w:t>
      </w:r>
    </w:p>
    <w:p w:rsidR="00EA2ADB" w:rsidRPr="00987A59" w:rsidRDefault="00EA2ADB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Оцінку забрудненості повітря здійснюють у такій послідовності:</w:t>
      </w:r>
    </w:p>
    <w:p w:rsidR="00EA2ADB" w:rsidRPr="00987A59" w:rsidRDefault="00EA2ADB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– визначають розрахунко</w:t>
      </w:r>
      <w:r w:rsidR="001D6C8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ву концентрацію окису вуглецю Ср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на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лінії бордюру проїзної частини;</w:t>
      </w:r>
    </w:p>
    <w:p w:rsidR="005A0345" w:rsidRPr="00987A59" w:rsidRDefault="001D6C8A" w:rsidP="00DA58F8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uk-UA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uk-UA"/>
            </w:rPr>
            <m:t xml:space="preserve">Ср=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eastAsia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uk-UA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uk-U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uk-UA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uk-UA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uk-UA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uk-UA"/>
                </w:rPr>
                <m:t>(7,38+0,026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 w:eastAsia="uk-UA"/>
                </w:rPr>
                <m:t>N)</m:t>
              </m:r>
            </m:num>
            <m:den>
              <m:rad>
                <m:ra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eastAsia="uk-UA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eastAsia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eastAsia="uk-UA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eastAsia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eastAsia="uk-UA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eastAsia="uk-UA"/>
                        </w:rPr>
                        <m:t>30</m:t>
                      </m:r>
                    </m:den>
                  </m:f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eastAsia="uk-UA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uk-UA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eastAsia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 w:eastAsia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ru-RU" w:eastAsia="uk-UA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ru-RU" w:eastAsia="uk-UA"/>
                        </w:rPr>
                        <m:t>η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 w:eastAsia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 w:eastAsia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ru-RU" w:eastAsia="uk-UA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ru-RU" w:eastAsia="uk-UA"/>
                        </w:rPr>
                        <m:t>ν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 w:eastAsia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 w:eastAsia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ru-RU" w:eastAsia="uk-UA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ru-RU" w:eastAsia="uk-UA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 w:eastAsia="uk-UA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uk-UA"/>
                    </w:rPr>
                    <m:t>100</m:t>
                  </m:r>
                </m:den>
              </m:f>
            </m:e>
          </m:d>
        </m:oMath>
      </m:oMathPara>
    </w:p>
    <w:p w:rsidR="001D6C8A" w:rsidRPr="00987A59" w:rsidRDefault="001D6C8A" w:rsidP="00DA58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7A5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де </w:t>
      </w:r>
      <w:r w:rsidRPr="00987A59">
        <w:rPr>
          <w:rFonts w:ascii="Times New Roman" w:hAnsi="Times New Roman" w:cs="Times New Roman"/>
          <w:iCs/>
          <w:sz w:val="28"/>
          <w:szCs w:val="28"/>
        </w:rPr>
        <w:t>N</w:t>
      </w:r>
      <w:r w:rsidRPr="00987A5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87A59">
        <w:rPr>
          <w:rFonts w:ascii="Times New Roman" w:hAnsi="Times New Roman" w:cs="Times New Roman"/>
          <w:sz w:val="28"/>
          <w:szCs w:val="28"/>
        </w:rPr>
        <w:t>– сумарна інтенсивність руху транспортного потоку в обох</w:t>
      </w:r>
      <w:r w:rsidRPr="00987A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7A59">
        <w:rPr>
          <w:rFonts w:ascii="Times New Roman" w:hAnsi="Times New Roman" w:cs="Times New Roman"/>
          <w:sz w:val="28"/>
          <w:szCs w:val="28"/>
        </w:rPr>
        <w:t xml:space="preserve">напрямках, </w:t>
      </w:r>
      <w:r w:rsidRPr="00987A5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87A59">
        <w:rPr>
          <w:rFonts w:ascii="Times New Roman" w:hAnsi="Times New Roman" w:cs="Times New Roman"/>
          <w:sz w:val="28"/>
          <w:szCs w:val="28"/>
        </w:rPr>
        <w:t>вт/год;</w:t>
      </w:r>
    </w:p>
    <w:p w:rsidR="001D6C8A" w:rsidRPr="00987A59" w:rsidRDefault="00E332DC" w:rsidP="00DA58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 w:eastAsia="uk-UA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 w:eastAsia="uk-UA"/>
              </w:rPr>
              <m:t>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 w:eastAsia="uk-UA"/>
              </w:rPr>
              <m:t>η</m:t>
            </m:r>
          </m:sub>
        </m:sSub>
      </m:oMath>
      <w:r w:rsidR="001D6C8A" w:rsidRPr="00987A59">
        <w:rPr>
          <w:rFonts w:ascii="Times New Roman" w:hAnsi="Times New Roman" w:cs="Times New Roman"/>
          <w:sz w:val="28"/>
          <w:szCs w:val="28"/>
        </w:rPr>
        <w:t xml:space="preserve"> – поправка на відмінність частини вантажного та</w:t>
      </w:r>
      <w:r w:rsidR="001D6C8A" w:rsidRPr="00987A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6C8A" w:rsidRPr="00987A59">
        <w:rPr>
          <w:rFonts w:ascii="Times New Roman" w:hAnsi="Times New Roman" w:cs="Times New Roman"/>
          <w:sz w:val="28"/>
          <w:szCs w:val="28"/>
        </w:rPr>
        <w:t>громадського автомобільного транспорту в загальному потоці від значення</w:t>
      </w:r>
    </w:p>
    <w:p w:rsidR="001D6C8A" w:rsidRPr="00987A59" w:rsidRDefault="001D6C8A" w:rsidP="00DA58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7A59">
        <w:rPr>
          <w:rFonts w:ascii="Times New Roman" w:hAnsi="Times New Roman" w:cs="Times New Roman"/>
          <w:sz w:val="28"/>
          <w:szCs w:val="28"/>
        </w:rPr>
        <w:t xml:space="preserve">70 % (на кожні 10 % різниці = ±4,6%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 w:eastAsia="uk-UA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 w:eastAsia="uk-UA"/>
              </w:rPr>
              <m:t>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 w:eastAsia="uk-UA"/>
              </w:rPr>
              <m:t>η</m:t>
            </m:r>
          </m:sub>
        </m:sSub>
      </m:oMath>
      <w:r w:rsidRPr="00987A59">
        <w:rPr>
          <w:rFonts w:ascii="Times New Roman" w:hAnsi="Times New Roman" w:cs="Times New Roman"/>
          <w:sz w:val="28"/>
          <w:szCs w:val="28"/>
        </w:rPr>
        <w:t>);</w:t>
      </w:r>
    </w:p>
    <w:p w:rsidR="001D6C8A" w:rsidRPr="00987A59" w:rsidRDefault="00E332DC" w:rsidP="00DA58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 w:eastAsia="uk-UA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 w:eastAsia="uk-UA"/>
              </w:rPr>
              <m:t>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 w:eastAsia="uk-UA"/>
              </w:rPr>
              <m:t>ν</m:t>
            </m:r>
          </m:sub>
        </m:sSub>
      </m:oMath>
      <w:r w:rsidR="001D6C8A" w:rsidRPr="00987A59">
        <w:rPr>
          <w:rFonts w:ascii="Times New Roman" w:hAnsi="Times New Roman" w:cs="Times New Roman"/>
          <w:sz w:val="28"/>
          <w:szCs w:val="28"/>
        </w:rPr>
        <w:t xml:space="preserve"> – поправка на швидкість</w:t>
      </w:r>
      <w:r w:rsidR="001D6C8A" w:rsidRPr="00987A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6C8A" w:rsidRPr="00987A59">
        <w:rPr>
          <w:rFonts w:ascii="Times New Roman" w:hAnsi="Times New Roman" w:cs="Times New Roman"/>
          <w:sz w:val="28"/>
          <w:szCs w:val="28"/>
        </w:rPr>
        <w:t>руху транспортного потоку;</w:t>
      </w:r>
    </w:p>
    <w:p w:rsidR="001D6C8A" w:rsidRPr="00987A59" w:rsidRDefault="00E332DC" w:rsidP="00DA58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 w:eastAsia="uk-UA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 w:eastAsia="uk-UA"/>
              </w:rPr>
              <m:t>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 w:eastAsia="uk-UA"/>
              </w:rPr>
              <m:t>γ</m:t>
            </m:r>
          </m:sub>
        </m:sSub>
      </m:oMath>
      <w:r w:rsidR="001D6C8A" w:rsidRPr="00987A5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D6C8A" w:rsidRPr="00987A59">
        <w:rPr>
          <w:rFonts w:ascii="Times New Roman" w:hAnsi="Times New Roman" w:cs="Times New Roman"/>
          <w:sz w:val="28"/>
          <w:szCs w:val="28"/>
        </w:rPr>
        <w:t>–</w:t>
      </w:r>
      <w:r w:rsidR="001D6C8A" w:rsidRPr="00987A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6C8A" w:rsidRPr="00987A59">
        <w:rPr>
          <w:rFonts w:ascii="Times New Roman" w:hAnsi="Times New Roman" w:cs="Times New Roman"/>
          <w:sz w:val="28"/>
          <w:szCs w:val="28"/>
        </w:rPr>
        <w:t xml:space="preserve">поправка на уклон проїзної частини (на кожний 1% уклону 0,75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 w:eastAsia="uk-UA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 w:eastAsia="uk-UA"/>
              </w:rPr>
              <m:t>П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 w:eastAsia="uk-UA"/>
              </w:rPr>
              <m:t>γ</m:t>
            </m:r>
          </m:sub>
        </m:sSub>
      </m:oMath>
      <w:r w:rsidR="001D6C8A" w:rsidRPr="00987A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6C8A" w:rsidRPr="00987A59">
        <w:rPr>
          <w:rFonts w:ascii="Times New Roman" w:hAnsi="Times New Roman" w:cs="Times New Roman"/>
          <w:sz w:val="28"/>
          <w:szCs w:val="28"/>
        </w:rPr>
        <w:t>= + );</w:t>
      </w:r>
    </w:p>
    <w:p w:rsidR="001D6C8A" w:rsidRPr="00987A59" w:rsidRDefault="00E332DC" w:rsidP="00DA58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eastAsia="uk-UA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uk-UA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eastAsia="uk-UA"/>
              </w:rPr>
              <m:t>T</m:t>
            </m:r>
          </m:sub>
        </m:sSub>
      </m:oMath>
      <w:r w:rsidR="001D6C8A" w:rsidRPr="00987A59">
        <w:rPr>
          <w:rFonts w:ascii="Times New Roman" w:hAnsi="Times New Roman" w:cs="Times New Roman"/>
          <w:sz w:val="28"/>
          <w:szCs w:val="28"/>
        </w:rPr>
        <w:t xml:space="preserve"> – швидкість вітру, м/с;</w:t>
      </w:r>
    </w:p>
    <w:p w:rsidR="001D6C8A" w:rsidRPr="00987A59" w:rsidRDefault="001D6C8A" w:rsidP="00DA58F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7A59">
        <w:rPr>
          <w:rFonts w:ascii="Times New Roman" w:hAnsi="Times New Roman" w:cs="Times New Roman"/>
          <w:i/>
          <w:iCs/>
          <w:sz w:val="28"/>
          <w:szCs w:val="28"/>
        </w:rPr>
        <w:t xml:space="preserve">B </w:t>
      </w:r>
      <w:r w:rsidRPr="00987A59">
        <w:rPr>
          <w:rFonts w:ascii="Times New Roman" w:hAnsi="Times New Roman" w:cs="Times New Roman"/>
          <w:sz w:val="28"/>
          <w:szCs w:val="28"/>
        </w:rPr>
        <w:t>– ширина вулиці в межах ліній забудови, м.</w:t>
      </w:r>
    </w:p>
    <w:p w:rsidR="00CF776F" w:rsidRPr="00987A59" w:rsidRDefault="00CF776F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</w:pPr>
    </w:p>
    <w:p w:rsidR="00EA2ADB" w:rsidRPr="00987A59" w:rsidRDefault="00EA2ADB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– визначають концентрацію окису вуглецю C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Б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на лінії забудови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вулиці;</w:t>
      </w:r>
    </w:p>
    <w:p w:rsidR="00EA2ADB" w:rsidRPr="00987A59" w:rsidRDefault="00EA2ADB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– визначають відстань L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СH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, на якій відбувається зменшення</w:t>
      </w:r>
    </w:p>
    <w:p w:rsidR="00EA2ADB" w:rsidRPr="00987A59" w:rsidRDefault="00EA2ADB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розрахункової концентрації окису вугл</w:t>
      </w:r>
      <w:r w:rsidR="005A0345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ецю </w:t>
      </w:r>
      <w:proofErr w:type="spellStart"/>
      <w:r w:rsidR="005A0345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</w:t>
      </w:r>
      <w:r w:rsidR="001D6C8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р</w:t>
      </w:r>
      <w:proofErr w:type="spellEnd"/>
      <w:r w:rsidR="001D6C8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до нормативного значення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H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у вільному просторі між будинками забудови вулиці;</w:t>
      </w:r>
    </w:p>
    <w:p w:rsidR="00EA2ADB" w:rsidRPr="00987A59" w:rsidRDefault="00EA2ADB" w:rsidP="00DA58F8">
      <w:pPr>
        <w:pStyle w:val="a3"/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– будують карту забруднення повітря.</w:t>
      </w:r>
    </w:p>
    <w:p w:rsidR="00E416B9" w:rsidRPr="00987A59" w:rsidRDefault="00E416B9" w:rsidP="00DA58F8">
      <w:pPr>
        <w:pStyle w:val="a3"/>
        <w:spacing w:line="276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uk-UA"/>
        </w:rPr>
      </w:pPr>
    </w:p>
    <w:p w:rsidR="00D7110A" w:rsidRPr="00987A59" w:rsidRDefault="00D7110A" w:rsidP="00DA58F8">
      <w:pPr>
        <w:pStyle w:val="a3"/>
        <w:spacing w:line="276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uk-UA"/>
        </w:rPr>
      </w:pPr>
    </w:p>
    <w:p w:rsidR="00D7110A" w:rsidRPr="00987A59" w:rsidRDefault="00D7110A" w:rsidP="00DA58F8">
      <w:pPr>
        <w:pStyle w:val="a3"/>
        <w:spacing w:line="276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uk-UA"/>
        </w:rPr>
      </w:pPr>
    </w:p>
    <w:p w:rsidR="00D7110A" w:rsidRPr="00987A59" w:rsidRDefault="00D7110A" w:rsidP="00DA58F8">
      <w:pPr>
        <w:pStyle w:val="a3"/>
        <w:spacing w:line="276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uk-UA"/>
        </w:rPr>
      </w:pPr>
    </w:p>
    <w:p w:rsidR="00D7110A" w:rsidRPr="00987A59" w:rsidRDefault="00D7110A" w:rsidP="00DA58F8">
      <w:pPr>
        <w:pStyle w:val="a3"/>
        <w:spacing w:line="276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uk-UA"/>
        </w:rPr>
      </w:pPr>
    </w:p>
    <w:p w:rsidR="00D7110A" w:rsidRPr="00987A59" w:rsidRDefault="00D7110A" w:rsidP="00DA58F8">
      <w:pPr>
        <w:pStyle w:val="a3"/>
        <w:spacing w:line="276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uk-UA"/>
        </w:rPr>
      </w:pPr>
    </w:p>
    <w:p w:rsidR="00E416B9" w:rsidRPr="00987A59" w:rsidRDefault="00E416B9" w:rsidP="00DA58F8">
      <w:pPr>
        <w:pStyle w:val="a3"/>
        <w:spacing w:line="276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uk-UA"/>
        </w:rPr>
        <w:lastRenderedPageBreak/>
        <w:t>Вулиця І</w:t>
      </w:r>
    </w:p>
    <w:p w:rsidR="00E416B9" w:rsidRPr="00987A59" w:rsidRDefault="00E416B9" w:rsidP="00DA58F8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uk-UA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uk-UA"/>
            </w:rPr>
            <m:t xml:space="preserve">Ср=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eastAsia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uk-UA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uk-U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uk-UA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uk-UA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uk-UA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uk-UA"/>
                </w:rPr>
                <m:t>(7,38+0,026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 w:eastAsia="uk-UA"/>
                </w:rPr>
                <m:t>N)</m:t>
              </m:r>
            </m:num>
            <m:den>
              <m:rad>
                <m:ra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eastAsia="uk-UA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eastAsia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eastAsia="uk-UA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eastAsia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eastAsia="uk-UA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eastAsia="uk-UA"/>
                        </w:rPr>
                        <m:t>30</m:t>
                      </m:r>
                    </m:den>
                  </m:f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eastAsia="uk-UA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uk-UA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eastAsia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 w:eastAsia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ru-RU" w:eastAsia="uk-UA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ru-RU" w:eastAsia="uk-UA"/>
                        </w:rPr>
                        <m:t>η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 w:eastAsia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 w:eastAsia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ru-RU" w:eastAsia="uk-UA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ru-RU" w:eastAsia="uk-UA"/>
                        </w:rPr>
                        <m:t>ν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 w:eastAsia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 w:eastAsia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ru-RU" w:eastAsia="uk-UA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ru-RU" w:eastAsia="uk-UA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 w:eastAsia="uk-UA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uk-UA"/>
                    </w:rPr>
                    <m:t>100</m:t>
                  </m:r>
                </m:den>
              </m:f>
            </m:e>
          </m:d>
        </m:oMath>
      </m:oMathPara>
    </w:p>
    <w:p w:rsidR="00E416B9" w:rsidRPr="00987A59" w:rsidRDefault="00E416B9" w:rsidP="00DA58F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16B9" w:rsidRPr="00987A59" w:rsidRDefault="00E332DC" w:rsidP="00DA58F8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uk-UA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eastAsia="uk-UA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uk-UA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uk-UA"/>
                </w:rPr>
                <m:t>р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uk-UA"/>
                </w:rPr>
                <m:t>І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uk-UA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uk-UA"/>
                </w:rPr>
                <m:t>1*0,67*1*(7,38+0,026*1200)</m:t>
              </m:r>
            </m:num>
            <m:den>
              <m:rad>
                <m:ra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eastAsia="uk-UA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eastAsia="uk-UA"/>
                        </w:rPr>
                        <m:t>3,066*54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eastAsia="uk-UA"/>
                        </w:rPr>
                        <m:t>30</m:t>
                      </m:r>
                    </m:den>
                  </m:f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eastAsia="uk-UA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uk-UA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eastAsia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uk-UA"/>
                    </w:rPr>
                    <m:t>(-20,7+2,7+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 w:eastAsia="uk-UA"/>
                    </w:rPr>
                    <m:t>1,5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uk-UA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uk-UA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eastAsia="uk-UA"/>
            </w:rPr>
            <m:t>=12,216 мг/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uk-UA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uk-UA"/>
                </w:rPr>
                <m:t>3</m:t>
              </m:r>
            </m:sup>
          </m:sSup>
        </m:oMath>
      </m:oMathPara>
    </w:p>
    <w:p w:rsidR="00E416B9" w:rsidRPr="00987A59" w:rsidRDefault="00E416B9" w:rsidP="00DA58F8">
      <w:pPr>
        <w:pStyle w:val="a3"/>
        <w:spacing w:line="276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uk-UA"/>
        </w:rPr>
        <w:t>Вулиця ІІ</w:t>
      </w:r>
    </w:p>
    <w:p w:rsidR="00E416B9" w:rsidRPr="00987A59" w:rsidRDefault="00E416B9" w:rsidP="00DA58F8">
      <w:pPr>
        <w:pStyle w:val="a3"/>
        <w:spacing w:line="276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uk-UA"/>
        </w:rPr>
      </w:pPr>
    </w:p>
    <w:p w:rsidR="00E416B9" w:rsidRPr="00987A59" w:rsidRDefault="00E416B9" w:rsidP="00DA58F8">
      <w:pPr>
        <w:pStyle w:val="a3"/>
        <w:spacing w:line="276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uk-UA"/>
        </w:rPr>
      </w:pPr>
    </w:p>
    <w:p w:rsidR="00E416B9" w:rsidRPr="00987A59" w:rsidRDefault="00E416B9" w:rsidP="00DA58F8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 w:eastAsia="uk-UA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uk-UA"/>
            </w:rPr>
            <m:t xml:space="preserve">Ср=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eastAsia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uk-UA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uk-U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uk-UA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uk-UA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uk-UA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uk-UA"/>
                </w:rPr>
                <m:t>(7,38+0,026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 w:eastAsia="uk-UA"/>
                </w:rPr>
                <m:t>N)</m:t>
              </m:r>
            </m:num>
            <m:den>
              <m:rad>
                <m:ra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eastAsia="uk-UA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eastAsia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eastAsia="uk-UA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eastAsia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eastAsia="uk-UA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eastAsia="uk-UA"/>
                        </w:rPr>
                        <m:t>30</m:t>
                      </m:r>
                    </m:den>
                  </m:f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eastAsia="uk-UA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uk-UA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eastAsia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 w:eastAsia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ru-RU" w:eastAsia="uk-UA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ru-RU" w:eastAsia="uk-UA"/>
                        </w:rPr>
                        <m:t>η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 w:eastAsia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 w:eastAsia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ru-RU" w:eastAsia="uk-UA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ru-RU" w:eastAsia="uk-UA"/>
                        </w:rPr>
                        <m:t>ν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 w:eastAsia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 w:eastAsia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ru-RU" w:eastAsia="uk-UA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ru-RU" w:eastAsia="uk-UA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 w:eastAsia="uk-UA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uk-UA"/>
                    </w:rPr>
                    <m:t>100</m:t>
                  </m:r>
                </m:den>
              </m:f>
            </m:e>
          </m:d>
        </m:oMath>
      </m:oMathPara>
    </w:p>
    <w:p w:rsidR="00E416B9" w:rsidRPr="00987A59" w:rsidRDefault="00E416B9" w:rsidP="00DA58F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776F" w:rsidRPr="00987A59" w:rsidRDefault="00E332DC" w:rsidP="00DA58F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eastAsia="uk-UA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uk-UA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uk-UA"/>
                </w:rPr>
                <m:t>р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uk-UA"/>
                </w:rPr>
                <m:t>І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eastAsia="uk-UA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uk-UA"/>
                </w:rPr>
                <m:t>1*0,67*1*(7,38+0,026*700)</m:t>
              </m:r>
            </m:num>
            <m:den>
              <m:rad>
                <m:ra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eastAsia="uk-UA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eastAsia="uk-UA"/>
                        </w:rPr>
                        <m:t>3,066*29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eastAsia="uk-UA"/>
                        </w:rPr>
                        <m:t>30</m:t>
                      </m:r>
                    </m:den>
                  </m:f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eastAsia="uk-UA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eastAsia="uk-UA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eastAsia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uk-UA"/>
                    </w:rPr>
                    <m:t>(-25,3-1,5+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 w:eastAsia="uk-UA"/>
                    </w:rPr>
                    <m:t>1,5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uk-UA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eastAsia="uk-UA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eastAsia="uk-UA"/>
            </w:rPr>
            <m:t>=9,465 мг/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uk-UA"/>
                </w:rPr>
                <m:t>м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eastAsia="uk-UA"/>
                </w:rPr>
                <m:t>3</m:t>
              </m:r>
            </m:sup>
          </m:sSup>
        </m:oMath>
      </m:oMathPara>
    </w:p>
    <w:p w:rsidR="00CF776F" w:rsidRPr="00987A59" w:rsidRDefault="00CF776F" w:rsidP="00DA58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Концентрацію окису вуглецю C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Б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на лінії забудови вулиці та відстань L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СH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у вільному просторі між будинками забудови вулиці до розрахункової точки території з нормативним значенням C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H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визначають за номограмою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для визначення зменшення концентрації окису вуглецю на відстані у вільному просторі території забудови</w:t>
      </w:r>
    </w:p>
    <w:p w:rsidR="00CF776F" w:rsidRPr="00987A59" w:rsidRDefault="00E332DC" w:rsidP="00DA58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shape id="_x0000_s1027" type="#_x0000_t75" style="position:absolute;left:0;text-align:left;margin-left:0;margin-top:14.35pt;width:481.6pt;height:348.45pt;z-index:251662336">
            <v:imagedata r:id="rId7" o:title="рис 25"/>
            <w10:wrap type="topAndBottom"/>
          </v:shape>
        </w:pict>
      </w:r>
    </w:p>
    <w:p w:rsidR="00EA2ADB" w:rsidRPr="00987A59" w:rsidRDefault="00EA2ADB" w:rsidP="00DA58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Гранично допустимий рівень концентрації окису вуглецю на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територіях житлової забудови CH = 3 мг / м3 .</w:t>
      </w:r>
    </w:p>
    <w:p w:rsidR="00EA2ADB" w:rsidRPr="00987A59" w:rsidRDefault="00EA2ADB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Карта забруднення повітря складається шляхом побудови контурів, в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межах яких концентрація окису вуглецю перевищує гранично допустиме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значення .</w:t>
      </w:r>
    </w:p>
    <w:p w:rsidR="00EA2ADB" w:rsidRPr="00987A59" w:rsidRDefault="00EA2ADB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Дискомфортною зоною території забудови вважається та, на якій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забрудненість повітря вихлопними газами автомобілів за концентрацією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окису вуглецю у повітрі перевищує 3 мг/м3.</w:t>
      </w:r>
    </w:p>
    <w:p w:rsidR="00EA2ADB" w:rsidRPr="00987A59" w:rsidRDefault="00EA2ADB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За картою забруднення повітря вихлопними газами автомобілів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підраховують сумарну площу території, що знаходиться в межах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допустимого рівня забруднення повітря і обчислюють коефіцієнт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благоустрою за умови чистого повітря.</w:t>
      </w:r>
    </w:p>
    <w:p w:rsidR="00EA2ADB" w:rsidRPr="00987A59" w:rsidRDefault="00EA2ADB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EA2ADB" w:rsidRPr="00987A59" w:rsidRDefault="0000733B" w:rsidP="00DA58F8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uk-UA"/>
        </w:rPr>
        <w:t>Газозахисні заходи</w:t>
      </w:r>
    </w:p>
    <w:p w:rsidR="00EA2ADB" w:rsidRPr="00987A59" w:rsidRDefault="00EA2ADB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Знизити концентрацію шкідливих компонентів вихлопних газів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автомобілів у приземному шарі повітря житлової забудови можна шляхом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застосування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 xml:space="preserve">екранів і захисного озеленення. На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газошумовий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режим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також багато в чому впливають зонування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примагістральної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забудови,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планувальні прийоми забудови, поверховість будівель і розташування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джерела забруднення повітря. Захисна зелена смуга повинна складатися з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порід дерев, що швидко ростуть, із низьким штамбом і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густозімкнутими</w:t>
      </w:r>
      <w:proofErr w:type="spellEnd"/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кронами, нижній ярус яких повинен бути заповнений чагарником.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Ефективність зниження рівнів загазованості захисними смугами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зелених насаджень (коефіцієнт ажурності 0,8-0,9; висота смуги не менше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5-6 м), забудовою та елементами рельєфу наведена в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табл</w:t>
      </w:r>
      <w:r w:rsidR="00E979E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>иці</w:t>
      </w:r>
      <w:proofErr w:type="spellEnd"/>
      <w:r w:rsidR="00E332DC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3.</w:t>
      </w:r>
    </w:p>
    <w:p w:rsidR="00EA2ADB" w:rsidRPr="00987A59" w:rsidRDefault="00E332DC" w:rsidP="00E332DC">
      <w:pPr>
        <w:pStyle w:val="a3"/>
        <w:spacing w:line="360" w:lineRule="auto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noProof/>
          <w:sz w:val="28"/>
          <w:szCs w:val="28"/>
        </w:rPr>
        <w:pict>
          <v:shape id="_x0000_s1028" type="#_x0000_t75" style="position:absolute;left:0;text-align:left;margin-left:-.6pt;margin-top:34.65pt;width:493.8pt;height:326.2pt;z-index:251664384">
            <v:imagedata r:id="rId8" o:title="табл40" croptop="3706f"/>
            <w10:wrap type="topAndBottom"/>
          </v:shape>
        </w:pict>
      </w:r>
      <w:r w:rsidR="00E979EB" w:rsidRPr="00987A59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uk-UA"/>
        </w:rPr>
        <w:t>Таблиця</w:t>
      </w:r>
      <w:r w:rsidRPr="00987A59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uk-UA"/>
        </w:rPr>
        <w:t xml:space="preserve"> 3</w:t>
      </w:r>
    </w:p>
    <w:p w:rsidR="00E979EB" w:rsidRPr="00987A59" w:rsidRDefault="00E979EB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Газозахисну ефективність зелених насаджень залежно від геометричних розмірів і ажурності (щільності) смуг дерев і чагарників на відстані 15 м від джерела забруднення наведена в таблиці</w:t>
      </w:r>
      <w:r w:rsidR="00E332DC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4.</w:t>
      </w:r>
    </w:p>
    <w:p w:rsidR="00E332DC" w:rsidRPr="00987A59" w:rsidRDefault="00E332DC" w:rsidP="00E332DC">
      <w:pPr>
        <w:pStyle w:val="a3"/>
        <w:spacing w:line="360" w:lineRule="auto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uk-UA"/>
        </w:rPr>
      </w:pPr>
    </w:p>
    <w:p w:rsidR="00E332DC" w:rsidRPr="00987A59" w:rsidRDefault="00E332DC" w:rsidP="00E332DC">
      <w:pPr>
        <w:pStyle w:val="a3"/>
        <w:spacing w:line="360" w:lineRule="auto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uk-UA"/>
        </w:rPr>
      </w:pPr>
    </w:p>
    <w:p w:rsidR="00E332DC" w:rsidRPr="00987A59" w:rsidRDefault="00E332DC" w:rsidP="00E332DC">
      <w:pPr>
        <w:pStyle w:val="a3"/>
        <w:spacing w:line="360" w:lineRule="auto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uk-UA"/>
        </w:rPr>
      </w:pPr>
    </w:p>
    <w:p w:rsidR="00E332DC" w:rsidRPr="00987A59" w:rsidRDefault="00E332DC" w:rsidP="00E332DC">
      <w:pPr>
        <w:pStyle w:val="a3"/>
        <w:spacing w:line="360" w:lineRule="auto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uk-UA"/>
        </w:rPr>
      </w:pPr>
    </w:p>
    <w:p w:rsidR="00E332DC" w:rsidRPr="00987A59" w:rsidRDefault="00E332DC" w:rsidP="00E332DC">
      <w:pPr>
        <w:pStyle w:val="a3"/>
        <w:spacing w:line="360" w:lineRule="auto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uk-UA"/>
        </w:rPr>
      </w:pPr>
    </w:p>
    <w:p w:rsidR="00E979EB" w:rsidRPr="00987A59" w:rsidRDefault="00E979EB" w:rsidP="00E332DC">
      <w:pPr>
        <w:pStyle w:val="a3"/>
        <w:spacing w:line="360" w:lineRule="auto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uk-UA"/>
        </w:rPr>
      </w:pPr>
      <w:proofErr w:type="spellStart"/>
      <w:r w:rsidRPr="00987A59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uk-UA"/>
        </w:rPr>
        <w:lastRenderedPageBreak/>
        <w:t>Табл</w:t>
      </w:r>
      <w:r w:rsidRPr="00987A59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 w:eastAsia="uk-UA"/>
        </w:rPr>
        <w:t>иця</w:t>
      </w:r>
      <w:proofErr w:type="spellEnd"/>
      <w:r w:rsidR="00E332DC" w:rsidRPr="00987A59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 w:eastAsia="uk-UA"/>
        </w:rPr>
        <w:t xml:space="preserve"> 4</w:t>
      </w:r>
    </w:p>
    <w:p w:rsidR="00EA2ADB" w:rsidRPr="00987A59" w:rsidRDefault="00E332DC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noProof/>
          <w:sz w:val="28"/>
          <w:szCs w:val="28"/>
        </w:rPr>
        <w:pict>
          <v:shape id="_x0000_s1029" type="#_x0000_t75" style="position:absolute;left:0;text-align:left;margin-left:0;margin-top:14.55pt;width:481.6pt;height:261.55pt;z-index:251666432;mso-position-horizontal:inside">
            <v:imagedata r:id="rId9" o:title="табл41" croptop="3532f"/>
            <w10:wrap type="topAndBottom"/>
          </v:shape>
        </w:pict>
      </w:r>
    </w:p>
    <w:p w:rsidR="00D7110A" w:rsidRPr="00987A59" w:rsidRDefault="00D7110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510468021"/>
      <w:r w:rsidRPr="00987A5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31030A" w:rsidRPr="00987A59" w:rsidRDefault="0031030A" w:rsidP="00DA58F8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87A59">
        <w:rPr>
          <w:rFonts w:ascii="Times New Roman" w:hAnsi="Times New Roman" w:cs="Times New Roman"/>
          <w:color w:val="000000" w:themeColor="text1"/>
        </w:rPr>
        <w:lastRenderedPageBreak/>
        <w:t>1.</w:t>
      </w:r>
      <w:r w:rsidR="00EA2ADB" w:rsidRPr="00987A59">
        <w:rPr>
          <w:rFonts w:ascii="Times New Roman" w:hAnsi="Times New Roman" w:cs="Times New Roman"/>
          <w:color w:val="000000" w:themeColor="text1"/>
        </w:rPr>
        <w:t>3</w:t>
      </w:r>
      <w:r w:rsidRPr="00987A59">
        <w:rPr>
          <w:rFonts w:ascii="Times New Roman" w:hAnsi="Times New Roman" w:cs="Times New Roman"/>
          <w:color w:val="000000" w:themeColor="text1"/>
        </w:rPr>
        <w:t xml:space="preserve">. </w:t>
      </w:r>
      <w:r w:rsidR="0000733B" w:rsidRPr="00987A59">
        <w:rPr>
          <w:rFonts w:ascii="Times New Roman" w:hAnsi="Times New Roman" w:cs="Times New Roman"/>
          <w:color w:val="000000" w:themeColor="text1"/>
        </w:rPr>
        <w:t>Інсоляційний режим території, заходи</w:t>
      </w:r>
      <w:r w:rsidR="00EA2ADB" w:rsidRPr="00987A59">
        <w:rPr>
          <w:rFonts w:ascii="Times New Roman" w:hAnsi="Times New Roman" w:cs="Times New Roman"/>
          <w:color w:val="000000" w:themeColor="text1"/>
        </w:rPr>
        <w:t xml:space="preserve"> </w:t>
      </w:r>
      <w:r w:rsidR="0000733B" w:rsidRPr="00987A59">
        <w:rPr>
          <w:rFonts w:ascii="Times New Roman" w:hAnsi="Times New Roman" w:cs="Times New Roman"/>
          <w:color w:val="000000" w:themeColor="text1"/>
        </w:rPr>
        <w:t>щодо покращення інсоляції території</w:t>
      </w:r>
      <w:bookmarkEnd w:id="4"/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Інсоляція житлових територій – важливий санітарно-гігієнічний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фактор зовнішнього середовища.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Критерій інсоляції — тривалість прямого сонячного опромінення.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Відповідно до санітарних та містобудівних норм (ДБН 360-92**) розміщення та орієнтація житлових і громадських будинків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(за винятком дитячих дошкільних установ, загальноосвітніх шкіл, шкіл-інтернатів) повинні забезпечувати тривалість інсоляції житлових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приміщень, визначених санітарними нормами, і територій не менше 2,5 год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за день на період з 22 березня по 22 вересня.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Розміщення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та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орієнтація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будинків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дитячих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установ,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загальноосвітніх шкіл, шкіл-інтернатів, установ охорони здоров'я і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відпочинку повинні забезпечувати безперервну тригодинну тривалість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інсоляції у приміщеннях, передбачених санітарними нормами і правилами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забезпечення інсоляції житлових і громадських будинків і територій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житлової забудови.</w:t>
      </w:r>
    </w:p>
    <w:p w:rsidR="00BA5709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 умовах забудови 9-поверховими будинками і більше допускається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одноразова переривчастість інсоляції житлових приміщень за умови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збільшення сумарної тривалості інсоляції протягом дня на 0,5 год.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У житлових будинках меридіонального типу, де усі кімнати квартир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мають сприятливі умови інсоляції, а також при реконструкції житлової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забудови або при розміщенні нового будівництва в особливо складних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містобудівних умовах (історично цінне міське середовище, дорога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підготовка території, зона загальноміського і районного центру)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допускається скорочення тривалості інсоляції приміщень на 0,5 год.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Найбільш простим методом, який відповідає завданням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проектування та додержанню діючих гігієнічних нормативів є графічний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метод. За цим методом для визначення умов інсоляції складають карту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інсоляції території житлової забудови, на якій зображують ізолінії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тривалості інсоляції по годинах (від 1 до 10 год).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>Метод передбачає використання спеціальних приладів (інсоляційна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л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інійка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)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. Інсоляційна лінійка є графічним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зображенням горизонтальної проекції похилої площини руху Сонця на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певній географічній широті у дні рівнодення.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Карту інсоляції території забудови складають у такій послідовності: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– на план забудови наносять сітку квадратів із стороною від 1 до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4 см (залежно від масштабу відповідно1:2000 або 1:500 і складності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ситуації). Сторони опорної сітки орієнтують у меридіанному і широтному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напрямках;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– на опорному плані території забудови розмічають опорні точки;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 якості опорних точок, для яких визначають значення тривалості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інсоляції в годинах, виступають: вершини квадратів опорної сітки, точки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перетину сітки квадратів із периметром будівлі і кутові точки будівлі.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– визначають значення рівнів інсоляції території в опорних точках.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Для цього інсоляційну лінійку накладають на план забудови так, щоб точка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О співпадала з опорною точкою, а напрямок Пн-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Пд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відповідав напрямку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"північ-південь". Зважаючи на фактичну забудову території, її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архітектурно-планувальне вирішення та поверховість, визначають термін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опромінювання території сонячними променями в годинах та хвилинах у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кожній опорній точці, для чого підраховують кількість годинних відрізків,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видимих із даної точки (між точкою і відрізком лінії "ходу сонця" не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повинно бути екрана), і знайдені значення годинної інсоляції записують в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опорній точці;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– визначають рівень інсоляції території в кутових точках будівель.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Він має два значення відповідно на двох фасадних стінках будинку.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Накладаючи інсоляційну лінійку (точка О) на кут будинку і орієнтуючи її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згідно напрямку "північ-південь", а також використовуючи додатково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звичайну лінійку, суміщену з фасадною стінкою будинку, встановлюють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термін інсоляції в годинах та хвилинах у кожній кутовій точці і також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записують його;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– визначають точки годинних значень тривалості інсоляції (від 0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до 10 годин) на сторонах квадратів опорної сітки методом інтерполяції між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значеннями її тривалості в опорних точках;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>– накреслюють ізолінії погодинної тривалості інсоляції, які є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умовними межами ділянок території з різною тривалістю інсоляції. Що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дозволяє визначити ділянку, в межах якої тривалість інсоляції менше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нормативної (менше 2,5 год).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– визначають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зону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дискомфорту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території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забудови.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Дискомфортною зоною території забудови вважається та, на якій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тривалість інсоляції не перевищує нормативне її значення.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31030A" w:rsidRPr="00987A59" w:rsidRDefault="0000733B" w:rsidP="00DA58F8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uk-UA"/>
        </w:rPr>
        <w:t>Заходи щодо покращення інсоляції території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Найбільш доцільний засіб зниження тривалості і кількості інсоляції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території — розсікання простору двору екранами, роль яких можуть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виконувати смуги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висококронових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дерев, стінки з витких рослин,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перголи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трельяжі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 підпірні стінки, повиті кучерявими рослинами, і т.п.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Для покращення інсоляції рекомендується: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- розміщувати об'єкти, що підлягають затіненню, у зоні затінення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будівлями, яка визначається за конвертами тіней з урахуванням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забезпечення нормативної інсоляції;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- місце розташування і висоту об'єкта, що затемнює (зелені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насадження,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перголи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трельяжі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і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т.п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.), враховуючи період затінення і зону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затінення;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- екранування ділянок, що захищаються, зеленими насадженнями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від радіації, відбитої і випроміненої вертикальними і горизонтальними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поверхнями, які в заданий період часу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інсолюються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Пішохідні шляхи, майданчики відпочинку населення, дитячі і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спортивні майданчики, що потребують затінення, при неможливості їх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розташування в тіні будівель, варто захищати зеленими насадженнями від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прямого сонячного опромінення. При цьому для затінення з 11 год до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15 год доцільно застосовувати ширококронні форми дерев, для затінення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після 15 год – пірамідальні з ажурністю менше 50%.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Для захисту пішохідних шляхів, майданчиків відпочинку й інших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елементів житлової групи від впливу радіації, відбитої покриттями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проїзної частини,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розворотних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майданчиків і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т.п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., які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інсолюються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рекомендується додержуватися між ними розриви 12-15 м. Якщо розриви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нездійсненні або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>невиправдані за умовами планувальної організації,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необхідно застосовувати екранування зеленими насадженнями висотою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2 м. Екран розташовують на відстані 0,5-1,0 м від краю ділянки, що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захищається, з боку джерела відбитої радіації.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Пішохідні шляхи вздовж південних фасадів будівель, які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інтенсивно</w:t>
      </w:r>
      <w:proofErr w:type="spellEnd"/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інсолюються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з 11 до 16 год, і уздовж західних фасадів, які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інтенсивно</w:t>
      </w:r>
      <w:proofErr w:type="spellEnd"/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інсолюються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після 12-13 год, варто трасувати на відстані не менше 8 м від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стін будівлі. Роль екранів від відбитої стінами радіації повинні виконувати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зелені насадження висотою не менше 2 м при п'ятиповерховій забудові і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не менше 3 м при дев'ятиповерховій забудові. В останньому випадку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можуть бути використані дерева з пірамідальною кроною (крім</w:t>
      </w:r>
      <w:r w:rsidR="00DA58F8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вічнозелених), у сполученні з чагарником у формі живоплоту. Не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допускається застосовувати в якості насаджень, що екранують, вічнозелені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рослини висотою 3 м і більше через погіршення ними інсоляції приміщень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першого поверху в зимовий час.</w:t>
      </w:r>
    </w:p>
    <w:p w:rsidR="00D7110A" w:rsidRPr="00987A59" w:rsidRDefault="00D7110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eastAsia="uk-UA"/>
        </w:rPr>
      </w:pPr>
      <w:bookmarkStart w:id="5" w:name="_Toc510468022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 w:type="page"/>
      </w:r>
    </w:p>
    <w:p w:rsidR="0031030A" w:rsidRPr="00987A59" w:rsidRDefault="0031030A" w:rsidP="00DA58F8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lang w:eastAsia="uk-UA"/>
        </w:rPr>
        <w:lastRenderedPageBreak/>
        <w:t>1.</w:t>
      </w:r>
      <w:r w:rsidR="00EA2ADB" w:rsidRPr="00987A59">
        <w:rPr>
          <w:rFonts w:ascii="Times New Roman" w:hAnsi="Times New Roman" w:cs="Times New Roman"/>
          <w:color w:val="000000" w:themeColor="text1"/>
          <w:lang w:eastAsia="uk-UA"/>
        </w:rPr>
        <w:t>4</w:t>
      </w:r>
      <w:r w:rsidRPr="00987A59">
        <w:rPr>
          <w:rFonts w:ascii="Times New Roman" w:hAnsi="Times New Roman" w:cs="Times New Roman"/>
          <w:color w:val="000000" w:themeColor="text1"/>
          <w:lang w:eastAsia="uk-UA"/>
        </w:rPr>
        <w:t xml:space="preserve">. </w:t>
      </w:r>
      <w:r w:rsidR="0000733B" w:rsidRPr="00987A59">
        <w:rPr>
          <w:rFonts w:ascii="Times New Roman" w:hAnsi="Times New Roman" w:cs="Times New Roman"/>
          <w:color w:val="000000" w:themeColor="text1"/>
          <w:lang w:eastAsia="uk-UA"/>
        </w:rPr>
        <w:t>Аераційний режим території, заходи щодо вітрозахисту</w:t>
      </w:r>
      <w:r w:rsidR="00BA5709" w:rsidRPr="00987A59">
        <w:rPr>
          <w:rFonts w:ascii="Times New Roman" w:hAnsi="Times New Roman" w:cs="Times New Roman"/>
          <w:color w:val="000000" w:themeColor="text1"/>
          <w:lang w:eastAsia="uk-UA"/>
        </w:rPr>
        <w:t xml:space="preserve"> </w:t>
      </w:r>
      <w:r w:rsidR="0000733B" w:rsidRPr="00987A59">
        <w:rPr>
          <w:rFonts w:ascii="Times New Roman" w:hAnsi="Times New Roman" w:cs="Times New Roman"/>
          <w:color w:val="000000" w:themeColor="text1"/>
          <w:lang w:eastAsia="uk-UA"/>
        </w:rPr>
        <w:t>і провітрювання</w:t>
      </w:r>
      <w:bookmarkEnd w:id="5"/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Аерація житлової території — один з важливих факторів</w:t>
      </w:r>
      <w:r w:rsidR="005C36C2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зовнішнього середовища.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Оцінка аераційного режиму території забудови здійснюється графоаналітичним методом на підставі встановлених закономірностей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формування вітряного режиму у приземному шарі висотою 2 м під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впливом елементів міського ландшафту та структури міської забудови.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Для переходу від швидкості вітру, яка визначається за даними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метеостанції (вимірюється на висоті флюгера), на висоту 2 м над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оверхнею користуються графіком,.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Графік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дозволяє визначити коефіцієнт переведення і розрахувати швидкість вітру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 приземному шарі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.</w:t>
      </w:r>
    </w:p>
    <w:p w:rsidR="00161B6A" w:rsidRPr="00987A59" w:rsidRDefault="00161B6A" w:rsidP="00DA58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Швидкість вітру V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Т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, м/с , на висоті 2 м від поверхні землі визначають</w:t>
      </w:r>
      <w:r w:rsidR="005C36C2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за формулою:</w:t>
      </w:r>
    </w:p>
    <w:p w:rsidR="00161B6A" w:rsidRPr="00987A59" w:rsidRDefault="00161B6A" w:rsidP="00DA58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V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Т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V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Ф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*К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 xml:space="preserve">Ф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= 4,</w:t>
      </w:r>
      <w:r w:rsidR="005C36C2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>2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*0,73=3,</w:t>
      </w:r>
      <w:r w:rsidR="005C36C2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>066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м/с</w:t>
      </w:r>
    </w:p>
    <w:p w:rsidR="00161B6A" w:rsidRPr="00987A59" w:rsidRDefault="00161B6A" w:rsidP="00DA58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де V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Ф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– швидкість вітру на висоті флюгера метеостанції, м/с;    (4,</w:t>
      </w:r>
      <w:r w:rsidR="005C36C2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>2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м/с)</w:t>
      </w:r>
    </w:p>
    <w:p w:rsidR="0031030A" w:rsidRPr="00987A59" w:rsidRDefault="00E332DC" w:rsidP="00DA58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noProof/>
          <w:sz w:val="28"/>
          <w:szCs w:val="28"/>
        </w:rPr>
        <w:pict>
          <v:shape id="_x0000_s1030" type="#_x0000_t75" style="position:absolute;left:0;text-align:left;margin-left:106.6pt;margin-top:29.95pt;width:257.3pt;height:191pt;z-index:251668480">
            <v:imagedata r:id="rId10" o:title="Image 6"/>
            <w10:wrap type="topAndBottom"/>
          </v:shape>
        </w:pict>
      </w:r>
      <w:r w:rsidR="00161B6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</w:t>
      </w:r>
      <w:r w:rsidR="00161B6A"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Ф</w:t>
      </w:r>
      <w:r w:rsidR="00161B6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– </w:t>
      </w:r>
      <w:proofErr w:type="spellStart"/>
      <w:r w:rsidR="00161B6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поправковий</w:t>
      </w:r>
      <w:proofErr w:type="spellEnd"/>
      <w:r w:rsidR="00161B6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коефіцієнт, визначається за графіком.        (0,73)</w:t>
      </w:r>
    </w:p>
    <w:p w:rsidR="00161B6A" w:rsidRPr="00987A59" w:rsidRDefault="008958E4" w:rsidP="00DA58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За фасадами протилежним дії вітру, утворюються зони де швидкість вітру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знижуется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.</w:t>
      </w:r>
    </w:p>
    <w:p w:rsidR="008958E4" w:rsidRPr="00987A59" w:rsidRDefault="008958E4" w:rsidP="00DA58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>V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Т70%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=3,</w:t>
      </w:r>
      <w:r w:rsidR="005C36C2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>066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*0,3=0,9</w:t>
      </w:r>
      <w:r w:rsidR="005C36C2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>2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м/с</w:t>
      </w:r>
    </w:p>
    <w:p w:rsidR="008958E4" w:rsidRPr="00987A59" w:rsidRDefault="008958E4" w:rsidP="00DA58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>V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Т60%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=3,</w:t>
      </w:r>
      <w:r w:rsidR="005C36C2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>066</w:t>
      </w:r>
      <w:r w:rsidR="005C36C2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*0,4=1,226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м/с</w:t>
      </w:r>
    </w:p>
    <w:p w:rsidR="008958E4" w:rsidRPr="00987A59" w:rsidRDefault="008958E4" w:rsidP="00DA58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t>V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Т50%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=3,</w:t>
      </w:r>
      <w:r w:rsidR="005C36C2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>066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*0,5=1,5</w:t>
      </w:r>
      <w:r w:rsidR="005C36C2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>33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м/с</w:t>
      </w:r>
    </w:p>
    <w:p w:rsidR="008958E4" w:rsidRPr="00987A59" w:rsidRDefault="008958E4" w:rsidP="00DA58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val="en-US" w:eastAsia="uk-UA"/>
        </w:rPr>
        <w:lastRenderedPageBreak/>
        <w:t>V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Т40%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=3,</w:t>
      </w:r>
      <w:r w:rsidR="005C36C2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066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*0,6=1,8</w:t>
      </w:r>
      <w:r w:rsidR="005C36C2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39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м/с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Для побудови карти аерації території визначається необхідне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зменшення швидкості вітру V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Т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для забезпечення комфортних умов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вітряного режиму та довжина вітряної тіні L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V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від кожного будинку на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території забудови.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Довжину вітряної тіні визначають за формулою:</w:t>
      </w:r>
    </w:p>
    <w:p w:rsidR="0031030A" w:rsidRPr="00987A59" w:rsidRDefault="008958E4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L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V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H*К</w:t>
      </w:r>
      <w:r w:rsidR="0031030A"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L</w:t>
      </w:r>
      <w:r w:rsidR="003103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,</w:t>
      </w:r>
    </w:p>
    <w:p w:rsidR="008958E4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де H – висота будинку, м;</w:t>
      </w:r>
    </w:p>
    <w:p w:rsidR="0031030A" w:rsidRPr="00987A59" w:rsidRDefault="00E332DC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noProof/>
          <w:sz w:val="28"/>
          <w:szCs w:val="28"/>
        </w:rPr>
        <w:pict>
          <v:shape id="_x0000_s1031" type="#_x0000_t75" style="position:absolute;left:0;text-align:left;margin-left:96.6pt;margin-top:33.45pt;width:230.6pt;height:194.25pt;z-index:251670528">
            <v:imagedata r:id="rId11" o:title="Image 7" cropbottom="11028f" cropright="9230f"/>
            <w10:wrap type="topAndBottom"/>
          </v:shape>
        </w:pict>
      </w:r>
      <w:r w:rsidR="003103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</w:t>
      </w:r>
      <w:r w:rsidR="0031030A"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 xml:space="preserve"> L</w:t>
      </w:r>
      <w:r w:rsidR="003103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– коефіцієнт довжини вітряної тіні,</w:t>
      </w:r>
      <w:r w:rsidR="008958E4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="003103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визначається за графіком</w:t>
      </w:r>
    </w:p>
    <w:p w:rsidR="008958E4" w:rsidRPr="00987A59" w:rsidRDefault="008958E4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Графік для визначення вітрової тіні від будинку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(1, 2, 3, 4 – відповідно зниження швидкості вітру на 70,60, 50, 40%)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Активна довжина будинку L' визначається за формулою: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L' = L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cos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α ,</w:t>
      </w:r>
    </w:p>
    <w:p w:rsidR="008958E4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де L . – довжина фасаду будинку, спрямованого до домінуючого напрямку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вітру, м;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α – кут між домінуючим напрямком вітру та фасадом будинку</w:t>
      </w:r>
    </w:p>
    <w:p w:rsidR="00D7110A" w:rsidRPr="00987A59" w:rsidRDefault="00D711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</w:pPr>
    </w:p>
    <w:p w:rsidR="008958E4" w:rsidRPr="00987A59" w:rsidRDefault="008958E4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при L'=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>87,5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</w:t>
      </w:r>
    </w:p>
    <w:p w:rsidR="008958E4" w:rsidRPr="00987A59" w:rsidRDefault="008958E4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 xml:space="preserve"> L70%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=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>1,3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;   К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 xml:space="preserve"> L60%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=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>4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;   К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 xml:space="preserve"> L50%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=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>5,4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;   К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 xml:space="preserve"> L40%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=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>7,5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;</w:t>
      </w:r>
    </w:p>
    <w:p w:rsidR="008958E4" w:rsidRPr="00987A59" w:rsidRDefault="008958E4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L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V70%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H*К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L70%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=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35,1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м</w:t>
      </w:r>
    </w:p>
    <w:p w:rsidR="008958E4" w:rsidRPr="00987A59" w:rsidRDefault="008958E4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L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V60%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H*К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L60%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=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108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м</w:t>
      </w:r>
    </w:p>
    <w:p w:rsidR="008958E4" w:rsidRPr="00987A59" w:rsidRDefault="008958E4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L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V50%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H*К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L50%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=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145,8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м</w:t>
      </w:r>
    </w:p>
    <w:p w:rsidR="008958E4" w:rsidRPr="00987A59" w:rsidRDefault="008958E4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L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V40%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H*К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L40%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=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202,5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м</w:t>
      </w:r>
    </w:p>
    <w:p w:rsidR="008958E4" w:rsidRPr="00987A59" w:rsidRDefault="008958E4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8958E4" w:rsidRPr="00987A59" w:rsidRDefault="008958E4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>при L'=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>57,4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</w:t>
      </w:r>
    </w:p>
    <w:p w:rsidR="008958E4" w:rsidRPr="00987A59" w:rsidRDefault="008958E4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 xml:space="preserve"> L70%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=0,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9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;   К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 xml:space="preserve"> L60%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=</w:t>
      </w:r>
      <w:r w:rsidR="00E3418F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3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>,1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;   К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 xml:space="preserve"> L50%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=</w:t>
      </w:r>
      <w:r w:rsidR="00E3418F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4,2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;   К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 xml:space="preserve"> L40%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=5,8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;</w:t>
      </w:r>
    </w:p>
    <w:p w:rsidR="008958E4" w:rsidRPr="00987A59" w:rsidRDefault="008958E4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L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V70%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H*К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L70%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=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24,3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м</w:t>
      </w:r>
    </w:p>
    <w:p w:rsidR="008958E4" w:rsidRPr="00987A59" w:rsidRDefault="008958E4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L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V60%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H*К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L60%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=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83,7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м</w:t>
      </w:r>
    </w:p>
    <w:p w:rsidR="008958E4" w:rsidRPr="00987A59" w:rsidRDefault="008958E4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L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V50%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H*К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L50%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=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113,4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м</w:t>
      </w:r>
    </w:p>
    <w:p w:rsidR="008958E4" w:rsidRPr="00987A59" w:rsidRDefault="008958E4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L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V40%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H*К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L40%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=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156,6</w:t>
      </w:r>
      <w:r w:rsidR="00E3418F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м</w:t>
      </w:r>
    </w:p>
    <w:p w:rsidR="008958E4" w:rsidRPr="00987A59" w:rsidRDefault="008958E4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eastAsia="uk-UA"/>
        </w:rPr>
      </w:pPr>
    </w:p>
    <w:p w:rsidR="00D7110A" w:rsidRPr="00987A59" w:rsidRDefault="00D7110A" w:rsidP="00D7110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при L'=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>9,1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</w:t>
      </w:r>
    </w:p>
    <w:p w:rsidR="00D7110A" w:rsidRPr="00987A59" w:rsidRDefault="00D7110A" w:rsidP="00D7110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 xml:space="preserve"> L70%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=0,7;   К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 xml:space="preserve"> L60%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=2,3;   К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 xml:space="preserve"> L50%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=3,3;   К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 xml:space="preserve"> L40%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=4,3;</w:t>
      </w:r>
    </w:p>
    <w:p w:rsidR="00D7110A" w:rsidRPr="00987A59" w:rsidRDefault="00D7110A" w:rsidP="00D7110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L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V70%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H*К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L70%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=4,2 м</w:t>
      </w:r>
    </w:p>
    <w:p w:rsidR="00D7110A" w:rsidRPr="00987A59" w:rsidRDefault="00D7110A" w:rsidP="00D7110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L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V60%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H*К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L60%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=13,8 м</w:t>
      </w:r>
    </w:p>
    <w:p w:rsidR="00D7110A" w:rsidRPr="00987A59" w:rsidRDefault="00D7110A" w:rsidP="00D7110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L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V50%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H*К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L50%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=19,8 м</w:t>
      </w:r>
    </w:p>
    <w:p w:rsidR="00D7110A" w:rsidRPr="00987A59" w:rsidRDefault="00D7110A" w:rsidP="00D7110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L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V40%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H*К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eastAsia="uk-UA"/>
        </w:rPr>
        <w:t>L40%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=25,8 м</w:t>
      </w:r>
    </w:p>
    <w:p w:rsidR="00D7110A" w:rsidRPr="00987A59" w:rsidRDefault="00D711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eastAsia="uk-UA"/>
        </w:rPr>
      </w:pP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Карта аерації території складається шляхом побудови контурів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вітряної тіні від кожного будинку.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Дискомфортною зоною території забудови вважається та, на якій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вітряний режим 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не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відповідає умові 1 &gt;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Ут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&gt; 4 м/с.</w:t>
      </w:r>
    </w:p>
    <w:p w:rsidR="00BA5709" w:rsidRPr="00987A59" w:rsidRDefault="00BA5709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31030A" w:rsidRPr="00987A59" w:rsidRDefault="0000733B" w:rsidP="00DA58F8">
      <w:pPr>
        <w:pStyle w:val="a3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uk-UA"/>
        </w:rPr>
        <w:t>Заходи щодо вітрозахисту і провітрювання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Аерацію житлових територій рекомендується забезпечувати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усуненням аеродинамічних перешкод у напрямку переважних слабких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вітрів (до 3 м/с), а також за рахунок використання місцевих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конвективних</w:t>
      </w:r>
      <w:proofErr w:type="spellEnd"/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="00720837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по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токів.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Природна рухливість повітря при слабких вітрах зберігається при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розташуванні протяжних будинків уздовж напрямку слабких вітрів.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Посиленню аерації сприяють місцеві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конвективні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="00720837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по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токи, що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утворяться за рахунок різниці температур повітря над окремими ділянками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території. У зв'язку з цим, рекомендується здійснювати комплексні заходи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щодо посилення аерації шляхом розміщення зелених масивів на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підвищених ділянках житлової території, відкритих майданчиків; на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понижених місцях між затіненими ділянками території в спекотну годину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дня – зеленими посадками і відкритими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 xml:space="preserve">ділянками, що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інсолюються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створюючи озеленені алеї, по яких може переміщуватися охолоджене і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зволожене повітря. Такі алеї бажано прокладати з нахилом 30-50 %о.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Роль вітрозахисту може виконувати озеленення і споруди-екрани.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Кращий вітрозахисний ефект мають ажурні конструкції посадок.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Якщо житлова група розкрита в бік пануючого вітру, кращий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вітрозахисний ефект дають посадки з навітряного боку, які закривають цей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розрив. Вони можуть являти собою вузьку смугу алейного типу (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дво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- або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трирядні загущені посадки), або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деревно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-чагарниковий масив, що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перекриває розриви в забудові.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Вітрозахист у холодний період року (з листопада по березень) може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бути забезпечений відповідною постановкою протяжних будинків, а в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теплий період – зеленими вітрозахисними бар'єрами. Будинки-бар'єри для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постійного вітрозахисту рекомендується застосовувати при малих кутах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між напрямками літніх і зимових несприятливих вітрів.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Найбільший ефект вітрозахисту мають бар'єри довжиною від 6 до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10 висот. У зв'язку з цим, для вітрозахисту рекомендується застосовувати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п'яти- і дев'ятиповерхові будинки довжиною 140-180 м. При висоті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будинку 40-50 м суттєву роль починають відігравати вертикальні потоки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повітря, зростає турбулентність (збільшується середня енергія вихорів),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відповідно і середня швидкість вітру в зоні, що захищається.</w:t>
      </w:r>
    </w:p>
    <w:p w:rsidR="00D711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Для пом'якшення вітрового напору, що впливає на вітрозахисний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будинок, рекомендується з навітряного боку розташовувати смугу дерев</w:t>
      </w:r>
      <w:r w:rsidR="00D711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висотою біля 0,3 висоти будинку і на відстані до чотирьох висот будинку.</w:t>
      </w:r>
    </w:p>
    <w:p w:rsidR="00D7110A" w:rsidRPr="00987A59" w:rsidRDefault="00D7110A" w:rsidP="00D7110A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sz w:val="28"/>
          <w:szCs w:val="28"/>
          <w:lang w:eastAsia="uk-UA"/>
        </w:rPr>
        <w:br w:type="page"/>
      </w:r>
    </w:p>
    <w:p w:rsidR="0031030A" w:rsidRPr="00987A59" w:rsidRDefault="0031030A" w:rsidP="00DA58F8">
      <w:pPr>
        <w:pStyle w:val="1"/>
        <w:spacing w:before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uk-UA"/>
        </w:rPr>
      </w:pPr>
      <w:bookmarkStart w:id="6" w:name="_Toc510468023"/>
      <w:r w:rsidRPr="00987A59">
        <w:rPr>
          <w:rFonts w:ascii="Times New Roman" w:hAnsi="Times New Roman" w:cs="Times New Roman"/>
          <w:color w:val="000000" w:themeColor="text1"/>
          <w:lang w:eastAsia="uk-UA"/>
        </w:rPr>
        <w:lastRenderedPageBreak/>
        <w:t xml:space="preserve">1.5. </w:t>
      </w:r>
      <w:r w:rsidR="0000733B" w:rsidRPr="00987A59">
        <w:rPr>
          <w:rFonts w:ascii="Times New Roman" w:hAnsi="Times New Roman" w:cs="Times New Roman"/>
          <w:color w:val="000000" w:themeColor="text1"/>
          <w:lang w:eastAsia="uk-UA"/>
        </w:rPr>
        <w:t>Комплексна оцінка умов комфортності території</w:t>
      </w:r>
      <w:bookmarkEnd w:id="6"/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Комплексна оцінка умов комфортності ґрунтується на аналізі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сукупного поширення показників значущих факторів санітарно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-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гігієнічного та екологічного стану довкілля, що не перевищують гранично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допустимі значення, на територію житлової забудови.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Для цього на опорному плані території забудови суміщають карти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шумового режиму та забруднення атмосферного повітря, провітрювання,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освітлення сонячним промінням та температурного режиму.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Дискомфортною зоною території забудови вважається та, на якій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будь-який показник значущого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фактора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санітарно-гігієнічного та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екологічного стану довкілля перевищує його гранично допустиме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значення.</w:t>
      </w:r>
    </w:p>
    <w:p w:rsidR="007011F0" w:rsidRPr="00987A59" w:rsidRDefault="007011F0">
      <w:pP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 w:type="page"/>
      </w:r>
    </w:p>
    <w:p w:rsidR="0031030A" w:rsidRPr="00987A59" w:rsidRDefault="0031030A" w:rsidP="00DA58F8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lang w:eastAsia="uk-UA"/>
        </w:rPr>
      </w:pPr>
      <w:bookmarkStart w:id="7" w:name="_Toc510468024"/>
      <w:r w:rsidRPr="00987A59">
        <w:rPr>
          <w:rFonts w:ascii="Times New Roman" w:eastAsia="Times New Roman" w:hAnsi="Times New Roman" w:cs="Times New Roman"/>
          <w:color w:val="000000" w:themeColor="text1"/>
          <w:lang w:eastAsia="uk-UA"/>
        </w:rPr>
        <w:lastRenderedPageBreak/>
        <w:t xml:space="preserve">2. </w:t>
      </w:r>
      <w:r w:rsidR="0000733B" w:rsidRPr="00987A59">
        <w:rPr>
          <w:rFonts w:ascii="Times New Roman" w:eastAsia="Times New Roman" w:hAnsi="Times New Roman" w:cs="Times New Roman"/>
          <w:color w:val="000000" w:themeColor="text1"/>
          <w:lang w:eastAsia="uk-UA"/>
        </w:rPr>
        <w:t>Інженерний благоустрій території</w:t>
      </w:r>
      <w:bookmarkEnd w:id="7"/>
    </w:p>
    <w:p w:rsidR="0031030A" w:rsidRPr="00987A59" w:rsidRDefault="0000733B" w:rsidP="00DA58F8">
      <w:pPr>
        <w:pStyle w:val="1"/>
        <w:spacing w:before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uk-UA"/>
        </w:rPr>
      </w:pPr>
      <w:bookmarkStart w:id="8" w:name="_Toc510468025"/>
      <w:r w:rsidRPr="00987A59">
        <w:rPr>
          <w:rFonts w:ascii="Times New Roman" w:hAnsi="Times New Roman" w:cs="Times New Roman"/>
          <w:color w:val="000000" w:themeColor="text1"/>
          <w:lang w:eastAsia="uk-UA"/>
        </w:rPr>
        <w:t>2.1. Проїзди, пішохідні шляхи</w:t>
      </w:r>
      <w:bookmarkEnd w:id="8"/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Важливий елемент благоустрою території житлових кварталів та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мікрорайонів – мережа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внутрі</w:t>
      </w:r>
      <w:proofErr w:type="spellEnd"/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мікрорайонних проїздів і пішохідних шляхів.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Трасування внутрішніх проїздів мікрорайонів приймається виходячи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 рішення системи магістральних і житлових вулиць для всього житлового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району. При виборі системи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внутрі</w:t>
      </w:r>
      <w:proofErr w:type="spellEnd"/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мікрорайонних проїздів керуються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умовами забезпечення безпеки і зручності транспортного обслуговування,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ізоляції населення від шуму і пилюки, скорочення площі асфальтових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покриттів.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Система мікрорайонної транспортної мережі містить у собі житлові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вулиці, внутрішні проїзди і службово-господарські проїзди.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По житлових вулицях здійснюється прямування автотранспорту від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магістральних вулиць до внутрішніх проїздів, до в'їздів у мікрорайон.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Житлові вулиці розташовуються уздовж меж мікрорайону.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Внутрішні проїзди використовують для прямування автотранспорту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від міських вулиць до груп будинків і окремих об'єктів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культурнопобутового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призначення. По внутрішнім проїздам не дозволяється проїзд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громадського транспорту і стоянка автомобілів.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Службово-господарські проїзди скорочують шлях автотранспорту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господарських служб з вивезення сміття, очищення території.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Система проїздів і пішохідних шляхів житлових кварталів і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мікрорайонів проектується одночасно із забудовою. Вона повинна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забезпечувати зручний під'їзд до груп житлових будинків і підприємств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повсякденного обслуговування населення з мінімальною кількістю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перетинань пішохідних шляхів, і виключити транзитне прямування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міського транспорту через мікрорайон.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Внутрімікрорайонні</w:t>
      </w:r>
      <w:proofErr w:type="spellEnd"/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проїзди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прокладають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по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кільцевий,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петлеподібній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і тупиковій схемах. Для тупикової схеми проїздів цілком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виключається наскрізне прямування автотранспорту і здійснюється повний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поділ транспортних і пішохідних потоків, що сприяє підвищенню безпеки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пересування. У тупиковій системі з кільцевими і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петлевими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проїздами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позитивно оцінюється можливість застосування однобічного прямування,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спрощення орієнтації водіїв і пішоходів, що також сприяє підвищенню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безпеки руху.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>В'їзди на територію житлових кварталів і мікрорайонів, а також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наскрізні проїзди в будинках, слід передбачати на відстані не більш 300 м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один від одного, а у разі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периметральної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забудови в районах, що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реконструюються, – не більш 180 м. Примикання проїздів до проїжджих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частин магістральних вулиць регульованого руху допускається на відстані</w:t>
      </w:r>
      <w:r w:rsidR="00BA5709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не менше 50 м від перехрестя.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Відповідно до ДБН 360-92** для під'їзду до груп житлових будинків,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великих установ і підприємств обслуговування, торгових центрів треба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передбачати основні проїзди шириною не менше 6 м, а до будинків, що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стоять окремо, – другорядні проїзди, розміри яких 3-3,5 м.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Проїзди з однобічним кільцевим прямуванням транспорту і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протяжністю не більш 300 м за наявності тротуарів допускається приймати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в одну смугу руху шириною 3-3,5 м. На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односмугових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проїздах необхідно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передбачати роз'їзні майданчики шириною 6 м і довжиною 15 м на відстані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не більше 75 м один від одного. Тупикові проїзди мають бути завдовжки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не більше 150 м і закінчуватися поворотними майданчиками, які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забезпечують можливість розвороту. Розміри їх у плані 12x12 м або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кільцеві з радіусом по осі смуги не менше 10 м. Використання поворотних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майданчиків для тимчасового зберігання автомобілів не припускається.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До житлових будинків, що стоять окремо, заввишки не більше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дев'яти поверхів, а також до об'єктів, які відвідують інваліди, допускається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влаштування проїздів, суміщених із тротуарами при їх довжині не більше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150 м і загальній ширині 4.2 м.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Проїзди, що ведуть до житлових будинків, і пішохідні шляхи варто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розміщати не ближче 5 м від стін житлових і суспільних будинків.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До житлових будинків висотою понад дев'ять поверхів і до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суспільних будинків висотою понад п'ять поверхів слід передбачати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проїзди шириною не менше 3,5 м або смуги шириною 6 м, придатні для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проїзду пожежних машин, із двох поздовжніх боків багато секційних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житлових будинків і суспільних будинків і з усіх боків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односекційних</w:t>
      </w:r>
      <w:proofErr w:type="spellEnd"/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житлових будинків. До житлових і суспільних будинків, меншої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поверховості проїзди можуть влаштовуватися з однієї поздовжньої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сторони.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>Проїзди або смути варто розміщати на відстані 5-8 м від будинків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висотою 9-14 поверхів і 8-10 м від будинків більшої поверховості.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Для підвищення безпеки прямування, забезпечення мінімальної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швидкості автотранспорту на території мікрорайону (менше 20 км/год.)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довжину прямих ділянок проїздів слід проектувати не більше 150-200 м, а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їх сполучення з мінімальним радіусом повороту 8 м по внутрішньому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борту проїзду.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Максимальний поздовжній нахил проїздів 60%о, мінімальний –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4-5 %о. Поперечні нахили залежать від типу покриття, становлять 15-25%о,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і, як правило – односкатні.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Вибір типу дорожніх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одягів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для мікрорайонних проїздів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визначається типом проїзду, кліматичними і місцевими умовами, а також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розмірами прямування транспорту. Застосовуються такі типи дорожніх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одягів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– удосконалені полегшені (асфальтові);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– перехідні (щебеневі і гравійні, оброблені в'язким матеріалом);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– збірні з цементобетонних плит.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Бортові камені застосовують бетонні типу П-1, розміром 30×15×100 см.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Пішохідні шляхи необхідно трасувати за можливості з мінімальними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нахилами, суворо відповідно до напрямків головних шляхів прямування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пішоходів і з урахуванням розміщення пунктів їхнього тяжіння.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Прогулянкові алеї і доріжки слід трасувати криволінійного обрису з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невеликими поворотами, з урахуванням рельєфу місцевості і розміщення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зелених насаджень, їхня ширина 1,5-3,0 м. Шляхи прямування пішоходів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до зупинок громадського транспорту, магазинів, садків-ясел необхідно, як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правило, трасувати по найкоротшій відстані і з мінімальною кількістю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перетинань із транспортними проїздами. Ширина їх визначається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розрахунком і не повинна бути менше 1,5 м.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Для зв'язку житлових будинків із майданчиками відпочинку,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дитячими і господарськими майданчиками проектують пішохідні доріжки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по найкоротших напрямках шириною 0,75 м.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Покриття пішохідних шляхів улаштовується з асфальтобетону і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збірних цементобетонних плит.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Для пішохідних доріжок припускаються такі максимальні поздовжні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нахили: для доріжок завширшки 3-2,5 м – 60-80%; завширшки 1,5 м –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80-100%, для стежин – 100-120%. Якщо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>рельєф перевищує ці припустимі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нахили, необхідно влаштовувати сходи, пандуси, серпантинні спуски.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Поперечні нахили, що припускаються при влаштуванні доріжок,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стежин, майданчиків такі: для двоскатних доріжок завширшки 3 м –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20-30%, для односкатних завширшки 3 м – 30%, для доріжок завширшки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2,25 м – 30-40%, для прогулянкових доріжок (односкатних) – 40-50%, для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майданчиків різного призначення 20-30%. Майданчики різного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призначення варто проектувати з влаштуванням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дренажів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дрібного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закладення.</w:t>
      </w:r>
    </w:p>
    <w:p w:rsidR="007011F0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Для короткочасної стоянки машин у мікрорайоні влаштовують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відкриті стоянки. Їх проектують із розрахунку 0,8 м2 на одного мешканця.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На одне машино-місце при цьому приділяється 25 м2.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Місця стоянок машин слід розміщувати при в'їздах до житлових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кварталів чи мікрорайонів на добре ізольованих від житла ділянках.</w:t>
      </w:r>
    </w:p>
    <w:p w:rsidR="007011F0" w:rsidRPr="00987A59" w:rsidRDefault="007011F0" w:rsidP="007011F0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sz w:val="28"/>
          <w:szCs w:val="28"/>
          <w:lang w:eastAsia="uk-UA"/>
        </w:rPr>
        <w:br w:type="page"/>
      </w:r>
    </w:p>
    <w:p w:rsidR="0031030A" w:rsidRPr="00987A59" w:rsidRDefault="00BA5709" w:rsidP="00DA58F8">
      <w:pPr>
        <w:pStyle w:val="1"/>
        <w:spacing w:before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uk-UA"/>
        </w:rPr>
      </w:pPr>
      <w:bookmarkStart w:id="9" w:name="_Toc510468026"/>
      <w:r w:rsidRPr="00987A59">
        <w:rPr>
          <w:rFonts w:ascii="Times New Roman" w:hAnsi="Times New Roman" w:cs="Times New Roman"/>
          <w:color w:val="000000" w:themeColor="text1"/>
          <w:lang w:eastAsia="uk-UA"/>
        </w:rPr>
        <w:lastRenderedPageBreak/>
        <w:t xml:space="preserve">2.2. </w:t>
      </w:r>
      <w:r w:rsidR="0000733B" w:rsidRPr="00987A59">
        <w:rPr>
          <w:rFonts w:ascii="Times New Roman" w:hAnsi="Times New Roman" w:cs="Times New Roman"/>
          <w:color w:val="000000" w:themeColor="text1"/>
          <w:lang w:eastAsia="uk-UA"/>
        </w:rPr>
        <w:t>Проектування майданчиків різного призначення</w:t>
      </w:r>
      <w:bookmarkEnd w:id="9"/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На території групи житлових будинків при вирішенні питань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інженерного благоустрою повинні бути передбачені: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– ігрові майданчики для дітей дошкільного й молодшого шкільного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віку;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– майданчики відпочинку для дорослого населення;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– майданчики для занять фізкультурою;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– господарські майданчики;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– майданчики для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вигулювання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собак.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Ігрові майданчики для дітей поділяються на три групи за віковим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принципом: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– для дітей ясельного віку (до 3 років);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– дошкільного віку (4-6 років);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– молодшого шкільного віку (до 12-14 років).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Іноді влаштовують спільні майданчики (секційні ігрові комплекси)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для ігор дітей від 4 до 14 років, розділені на ігрові сектори за віковими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групами з відповідним обладнанням. Для ізоляції секторів використовують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зелені насадження, ігрові споруди, стінки з різноманітних будівельних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матеріалів, перепади рельєфу.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Прийомами ізоляції необхідно вирішувати багатофункціональні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задачі благоустрою. Наприклад, перепади рельєфу у вигляді укосів, що є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межами зон, взимку можуть бути використані як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гірки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для катання на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санках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. Стінка з бетону, будучи огородженням, може виконувати функції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протишумового устрою і одночасно являти собою устрій для малювання та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ігор із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м'ячем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Зелені насадження можуть служити устроєм, що затінює, і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виконувати при цьому функцію шумової завіси.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Майданчики для відпочинку дорослого населення підрозділяються на: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– майданчики настільних ігор;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– майданчики для тихого відпочинку, що розміщуються біля входів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у будинки та віддалені від житлових будинків.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Не можна об'єднувати ігрові дитячі майданчики з майданчиками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відпочинку дорослих (за винятком майданчиків для дітей ясельного віку).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Проте на дитячих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>майданчиках передбачають місця для відпочинку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дорослих, що спостерігають за дітьми.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На території житлової групи можуть бути розміщені спортивні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майданчики: гімнастична, баскетбольна, волейбольна, тенісна одиночна.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Господарські майданчики призначені для сушіння білизни, чищення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хатніх речей і розміщення сміттєзбиральників.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Проектуючи майданчики для сміттєзбиральників, необхідно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враховувати поверховість будинків, облаштування їх сміттєпроводами,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системами збору і видалення сміття. Проте в житловій групі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багатоповерхових будинків (від дев'яти поверхів і вище), обладнаних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сміттєпроводами або іншою більш досконалою системою видалення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сміття, необхідно передбачати майданчик для великогабаритного сміття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(поламані меблі, старі речі тощо).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Майданчики для сушіння білизни повинні бути віддалені від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майданчиків для чищення хатніх речей і сміттєзбиральників.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Проектуючи майданчики різноманітного призначення на території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житлової групи, слід керуватися розрахунковими</w:t>
      </w:r>
      <w:r w:rsidR="00822246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нормативними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показниками.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За відсутності території розміри спортивних майданчиків можуть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бути зменшені на 10% у порівнянні з нормою, якщо на цих майданчиках не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передбачається проведення спортивних змагань.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У розривах між майданчиками і житловою забудовою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влаштовуються шумозахисні смуги.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При забудові єдиним подвір'ям варто створювати укрупнені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майданчики (дитячі, для настільних ігор і т.п.). Це сприяє створенню умов</w:t>
      </w:r>
      <w:r w:rsidR="007011F0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для формування на вільних територіях значних масивів зелені.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При розчленованій забудові (два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півподвір'я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витягнуті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внутрідворові</w:t>
      </w:r>
      <w:proofErr w:type="spellEnd"/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простори, рядкова забудова, забудова на складному рельєфі і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т.п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.), у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кожному внутрігруповому (прибудинковому) просторі слід створювати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свій комплекс майданчиків (особливо для дітей дошкільного віку). При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цьому, площа майданчиків зменшується, а кількість їх на житлову групу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збільшується, майданчики мають менший радіус доступності.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У разі нестачі вільних просторів на внутрішньо груповій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(прибудинковій) ділянці майданчики для занять фізкультурою варте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виносити за межі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>аналізованої території в спортивну зону мікрорайону.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Господарські і спортивні майданчики мають прямокутну форму, а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дитячі ігрові майданчики і майданчики для відпочинку дорослих можуть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мати будь-яку форму (прямокутну, квадратну, круглу, вільну) залежно від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ділянки розміщення, розміру майданчика, планувальних особливостей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внутрішньо дворового простору і т.п.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Майданчики для дітей дошкільного віку розміщуються в найбільш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ізольованій, добре озелененій частини подвір'я. Майданчики для ігор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дошкільників бажано розташовувати так, щоб вони добре проглядалися з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вікон житлових будинків. Вони також повинні бути ізольовані від проїздів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і господарських майданчиків.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Майданчики для молодших школярів звичайно призначені для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гучних ігор, тому їх зручно розташовувати на відстані від інших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майданчиків відпочинку і житлових будинків.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Територія дитячих майданчиків повинна добре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інсолюватися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 мати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затінення в періоди перегріву, провітрюватися, бути захищеною від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агресивних вітрів, із припустимими рівнями шуму і ГДК за рівнем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загазованості.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При проектуванні пішохідних підходів до дитячих майданчиків слід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врахувати, щоб не було прохідного пішохідного прямування крізь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майданчики. Вони повинні бути непрохідними.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Майданчики для дітей ясельного віку обладнують пісочницею,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качалками, лавками для дорослих, іноді влаштовують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плескальний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басейн.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На майданчиках для дошкільників розміщують пісочницю та ігрові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пристрої: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гірки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 ліани, дитячі будиночки, вертикальні східці, буми,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гойдалки,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плескальні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басейни або фігурні душі.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Майданчики для молодших школярів потребують різноманітного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устаткування і великого ігрового простору, де можна передбачити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спеціальну зону для гри в м'яч. На цьому майданчику розміщають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гойдалки, карусель, спортивне обладнання у вигляді бумів, вертикальних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східців та інших пристроїв. Розміщають на ній, наприклад, старий човен,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екіпаж, автомобіль, макет паровоза, пароплава і т.д. Для цієї вікової групи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організуються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також "тематичні" майданчики – "космічний",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"транспортний", "морський" і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т.п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.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На дитячих майданчиках передбачається влаштування стінок і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дощок</w:t>
      </w:r>
      <w:proofErr w:type="spellEnd"/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для малювання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крейдами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.</w:t>
      </w:r>
    </w:p>
    <w:p w:rsidR="00C27C5B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>Майданчики для відпочинку дорослих розміщують серед зелених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насаджень, максимально ізолюють від дитячих ігрових і господарських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майданчиків, удалині від проїздів. Територія майданчиків повинна бути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захищена від перегріву, від агресивних вітрів, добре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інсолюватися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провітрюватися, мати припустимі рівні шуму і загазованості.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На території житлової групи не повинні бути великі за розміром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майданчики. Місця відпочинку можуть бути влаштовані у вигляді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пергол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і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альтанок.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Перголи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трельяжі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і декоративні стінки розділяють місця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відпочинку на ізольовані куточки, надають їм вільну конфігурацію і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здорову мальовничість, захищають від вітру і сонячного перегріву.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Майданчики для тихого відпочинку розміром 12-15 м2 вміщають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одночасно не більш 2-5 чоловік, мають 1-2 лавки, встановлені в кишені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доріжки, алеї або на газоні в тіні дерева, чагарнику, біля групи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багатолітників або на відгалуженні доріжки, відкіля відчиняється гарний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вид на галявину, водойм або на навколишню забудову. Майданчики для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настільних ігор обладнують світильниками, урнами для сміття, лавками,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розміщуваними в тіні великих дерев, навісів і інших сонцезахисних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устроїв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Майданчики для сушіння білизни розміщують на добре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інсольованій</w:t>
      </w:r>
      <w:proofErr w:type="spellEnd"/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території, незатіненій і провітрюваній. Їх обладнують спеціальними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опорами для закріплення мотузок для сушіння білизни.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Майданчики для чищення і провітрювання хатніх речей розміщують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на ділянках дворової території, що добре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інсолюються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 і де немає протягів,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щоб пилюка не розносилася по території подвір'я. Ці майданчики бажано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розміщувати у віддаленні від вікон житлових будинків із боку глухих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торців, щоб шум, вироблений у процесі чищення речей, не заважав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жителям найближчих будинків. Вони облаштовуються спеціальними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стінками з обертовим стовбуром-циліндром, рамою і лавкою.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Майданчики для сміттєзбиральників проектують в подвір'ях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житлових будинків, що не мають сміттєпроводів. Розміщення цих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майданчиків повинно бути ув'язане з планувальним вирішенням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мікрорайонних проїздів, щоб забезпечити зручний проїзд спеціалізованого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автотранспорту. Територія майданчиків має бути на затіненій території або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>мати сонцезахисні устрої у вигляді спеціальних помешкань для бачків,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навісів, щільної стіни з дерев або трельяжів, цегельних огорож для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контейнерів.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Майданчики для занять фізкультурою мають бути на провітрюваній,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захищеній від перегрівання і агресивних вітрів території, що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інсолюється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мати допустимі рівні шуму і загазованості, відповідне спортивне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устаткування.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Найкраще покриття для дитячих майданчиків – газон, проте він не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може зберегтися в умовах щоденного витоптування. На майданчиках для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дітей доцільно застосовувати різноманітні типи покриття, залежно від виду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устаткування і пов'язаного з ним ігрового процесу.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Тверде покриття з плиток улаштовують біля лавок, гойдалок і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каруселей. Навколо пісочниць і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плескальних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басейнів укладають плити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смугою в 1-1,5 м, щоб можна було легко зібрати пісок у пісочницю і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зберегти газон навколо басейну.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Там, де діти катаються на велосипедах, самокатах, де вони вивчають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правила вуличного руху, доцільно застосовувати асфальт, бажано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кольоровий.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У місцях великого скупчення дітей, де розміщується багато ігрового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устаткування, застосовують гравійне покриття (товщина не менше 15 см,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похил 10-20%о), заслане прошарком глини з відсівом гравію, декілька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разів прокатане. Таке покриття стійке проти інтенсивних навантажень.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У місцях розташування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гірок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устроїв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для лазіння, щоб вберегти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дітей від забиття у випадку падіння, влаштовують піщане покриття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(товщина прошарку не менше 20-30 см).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Для майданчиків відпочинку дорослого населення застосовують,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залежно від місцезнаходження і призначення майданчиків, різноманітні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види покриттів. Покриття може бути з бетонних плиток, покладених по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всій території майданчика, із вставками з газону, квітників, водяного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басейну, у вигляді окремих плиток на газоні або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гравґі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 фунтове покриття.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На майданчиках для сушіння білизни, які не повинні запилюватися,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застосовують асфальтове покриття або газон із плитковими підходами.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Майданчики для чищення хатніх речей мають покриття з плиток,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мозаїки або асфальтове з похилом 10-20%о.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Майданчики для сміттєзбиральників мають асфальтобетонне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покриття.</w:t>
      </w:r>
    </w:p>
    <w:p w:rsidR="00C27C5B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>Спортивні майданчики мають покриття зі спеціальних сумішок: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жужільні,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гареві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глиняно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-піщані і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т.д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., а також асфальтові та бетонні.</w:t>
      </w:r>
    </w:p>
    <w:p w:rsidR="00822246" w:rsidRPr="00987A59" w:rsidRDefault="00822246" w:rsidP="00822246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Перелік запроектованих майданчиків різноманітного призначення на території житлової групи, наведено в таблиці 5</w:t>
      </w:r>
    </w:p>
    <w:p w:rsidR="00822246" w:rsidRPr="00987A59" w:rsidRDefault="00822246" w:rsidP="00822246">
      <w:pPr>
        <w:pStyle w:val="a3"/>
        <w:spacing w:line="360" w:lineRule="auto"/>
        <w:ind w:firstLine="851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uk-UA"/>
        </w:rPr>
        <w:t>Таблиця - 5</w:t>
      </w:r>
    </w:p>
    <w:tbl>
      <w:tblPr>
        <w:tblStyle w:val="a9"/>
        <w:tblW w:w="8813" w:type="dxa"/>
        <w:tblLayout w:type="fixed"/>
        <w:tblLook w:val="04A0" w:firstRow="1" w:lastRow="0" w:firstColumn="1" w:lastColumn="0" w:noHBand="0" w:noVBand="1"/>
      </w:tblPr>
      <w:tblGrid>
        <w:gridCol w:w="710"/>
        <w:gridCol w:w="5070"/>
        <w:gridCol w:w="1843"/>
        <w:gridCol w:w="1190"/>
      </w:tblGrid>
      <w:tr w:rsidR="00822246" w:rsidRPr="00987A59" w:rsidTr="00822246">
        <w:tc>
          <w:tcPr>
            <w:tcW w:w="710" w:type="dxa"/>
            <w:vAlign w:val="center"/>
          </w:tcPr>
          <w:p w:rsidR="00822246" w:rsidRPr="00987A59" w:rsidRDefault="00822246" w:rsidP="00A22DC7">
            <w:pPr>
              <w:spacing w:line="276" w:lineRule="auto"/>
              <w:ind w:left="-958"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7A59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070" w:type="dxa"/>
            <w:vAlign w:val="center"/>
          </w:tcPr>
          <w:p w:rsidR="00822246" w:rsidRPr="00987A59" w:rsidRDefault="00822246" w:rsidP="00A22DC7">
            <w:pPr>
              <w:spacing w:line="276" w:lineRule="auto"/>
              <w:ind w:left="-958"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7A59">
              <w:rPr>
                <w:rFonts w:ascii="Times New Roman" w:hAnsi="Times New Roman" w:cs="Times New Roman"/>
                <w:sz w:val="28"/>
                <w:szCs w:val="28"/>
              </w:rPr>
              <w:t>Найменування майданчиків</w:t>
            </w:r>
          </w:p>
        </w:tc>
        <w:tc>
          <w:tcPr>
            <w:tcW w:w="1843" w:type="dxa"/>
            <w:vAlign w:val="center"/>
          </w:tcPr>
          <w:p w:rsidR="00822246" w:rsidRPr="00987A59" w:rsidRDefault="00822246" w:rsidP="00A22DC7">
            <w:pPr>
              <w:autoSpaceDE w:val="0"/>
              <w:autoSpaceDN w:val="0"/>
              <w:adjustRightInd w:val="0"/>
              <w:spacing w:line="276" w:lineRule="auto"/>
              <w:ind w:left="-958"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7A59">
              <w:rPr>
                <w:rFonts w:ascii="Times New Roman" w:hAnsi="Times New Roman" w:cs="Times New Roman"/>
                <w:sz w:val="28"/>
                <w:szCs w:val="28"/>
              </w:rPr>
              <w:t>Нормативні</w:t>
            </w:r>
          </w:p>
          <w:p w:rsidR="00822246" w:rsidRPr="00987A59" w:rsidRDefault="00822246" w:rsidP="00A22DC7">
            <w:pPr>
              <w:spacing w:line="276" w:lineRule="auto"/>
              <w:ind w:left="-958"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7A59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87A59">
              <w:rPr>
                <w:rFonts w:ascii="Times New Roman" w:hAnsi="Times New Roman" w:cs="Times New Roman"/>
                <w:sz w:val="28"/>
                <w:szCs w:val="28"/>
              </w:rPr>
              <w:t>оказники</w:t>
            </w:r>
            <w:r w:rsidRPr="00987A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87A5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987A5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190" w:type="dxa"/>
            <w:vAlign w:val="center"/>
          </w:tcPr>
          <w:p w:rsidR="00822246" w:rsidRPr="00987A59" w:rsidRDefault="00822246" w:rsidP="00A22DC7">
            <w:pPr>
              <w:autoSpaceDE w:val="0"/>
              <w:autoSpaceDN w:val="0"/>
              <w:adjustRightInd w:val="0"/>
              <w:spacing w:line="276" w:lineRule="auto"/>
              <w:ind w:left="-958"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7A59">
              <w:rPr>
                <w:rFonts w:ascii="Times New Roman" w:hAnsi="Times New Roman" w:cs="Times New Roman"/>
                <w:sz w:val="28"/>
                <w:szCs w:val="28"/>
              </w:rPr>
              <w:t>Площа</w:t>
            </w:r>
          </w:p>
          <w:p w:rsidR="00822246" w:rsidRPr="00987A59" w:rsidRDefault="00822246" w:rsidP="00A22DC7">
            <w:pPr>
              <w:autoSpaceDE w:val="0"/>
              <w:autoSpaceDN w:val="0"/>
              <w:adjustRightInd w:val="0"/>
              <w:spacing w:line="276" w:lineRule="auto"/>
              <w:ind w:left="-958"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7A5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987A5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822246" w:rsidRPr="00987A59" w:rsidTr="00822246">
        <w:tc>
          <w:tcPr>
            <w:tcW w:w="710" w:type="dxa"/>
            <w:vAlign w:val="center"/>
          </w:tcPr>
          <w:p w:rsidR="00822246" w:rsidRPr="00987A59" w:rsidRDefault="00822246" w:rsidP="00A22DC7">
            <w:pPr>
              <w:spacing w:line="276" w:lineRule="auto"/>
              <w:ind w:left="-958"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7A5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070" w:type="dxa"/>
          </w:tcPr>
          <w:p w:rsidR="00822246" w:rsidRPr="00987A59" w:rsidRDefault="00822246" w:rsidP="00822246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7A59">
              <w:rPr>
                <w:rFonts w:ascii="Times New Roman" w:hAnsi="Times New Roman" w:cs="Times New Roman"/>
                <w:sz w:val="28"/>
                <w:szCs w:val="28"/>
              </w:rPr>
              <w:t>Ігрові майданчики для дітей</w:t>
            </w:r>
            <w:r w:rsidRPr="00987A59">
              <w:rPr>
                <w:rFonts w:ascii="Times New Roman" w:hAnsi="Times New Roman" w:cs="Times New Roman"/>
                <w:sz w:val="28"/>
                <w:szCs w:val="28"/>
              </w:rPr>
              <w:t xml:space="preserve"> дошкільного і молодшого шкільного віку</w:t>
            </w:r>
          </w:p>
        </w:tc>
        <w:tc>
          <w:tcPr>
            <w:tcW w:w="1843" w:type="dxa"/>
            <w:vAlign w:val="center"/>
          </w:tcPr>
          <w:p w:rsidR="00822246" w:rsidRPr="00987A59" w:rsidRDefault="00822246" w:rsidP="00A22DC7">
            <w:pPr>
              <w:spacing w:line="276" w:lineRule="auto"/>
              <w:ind w:left="-958"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7A59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90" w:type="dxa"/>
            <w:vAlign w:val="center"/>
          </w:tcPr>
          <w:p w:rsidR="00822246" w:rsidRPr="00987A59" w:rsidRDefault="00822246" w:rsidP="00A22DC7">
            <w:pPr>
              <w:spacing w:line="276" w:lineRule="auto"/>
              <w:ind w:left="-958"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7A59">
              <w:rPr>
                <w:rFonts w:ascii="Times New Roman" w:hAnsi="Times New Roman" w:cs="Times New Roman"/>
                <w:sz w:val="28"/>
                <w:szCs w:val="28"/>
              </w:rPr>
              <w:t>896</w:t>
            </w:r>
          </w:p>
        </w:tc>
      </w:tr>
      <w:tr w:rsidR="00822246" w:rsidRPr="00987A59" w:rsidTr="00822246">
        <w:tc>
          <w:tcPr>
            <w:tcW w:w="710" w:type="dxa"/>
            <w:vAlign w:val="center"/>
          </w:tcPr>
          <w:p w:rsidR="00822246" w:rsidRPr="00987A59" w:rsidRDefault="00822246" w:rsidP="00A22DC7">
            <w:pPr>
              <w:spacing w:line="276" w:lineRule="auto"/>
              <w:ind w:left="-958"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7A5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87A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070" w:type="dxa"/>
          </w:tcPr>
          <w:p w:rsidR="00822246" w:rsidRPr="00987A59" w:rsidRDefault="00822246" w:rsidP="00822246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7A59">
              <w:rPr>
                <w:rFonts w:ascii="Times New Roman" w:hAnsi="Times New Roman" w:cs="Times New Roman"/>
                <w:sz w:val="28"/>
                <w:szCs w:val="28"/>
              </w:rPr>
              <w:t>Майданчики для відпочинку дорослого населення</w:t>
            </w:r>
          </w:p>
        </w:tc>
        <w:tc>
          <w:tcPr>
            <w:tcW w:w="1843" w:type="dxa"/>
            <w:vAlign w:val="center"/>
          </w:tcPr>
          <w:p w:rsidR="00822246" w:rsidRPr="00987A59" w:rsidRDefault="00822246" w:rsidP="00A22DC7">
            <w:pPr>
              <w:spacing w:line="276" w:lineRule="auto"/>
              <w:ind w:left="-958"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7A59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190" w:type="dxa"/>
            <w:vAlign w:val="center"/>
          </w:tcPr>
          <w:p w:rsidR="00822246" w:rsidRPr="00987A59" w:rsidRDefault="00822246" w:rsidP="00A22DC7">
            <w:pPr>
              <w:spacing w:line="276" w:lineRule="auto"/>
              <w:ind w:left="-958"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7A59"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</w:tr>
      <w:tr w:rsidR="00822246" w:rsidRPr="00987A59" w:rsidTr="00822246">
        <w:tc>
          <w:tcPr>
            <w:tcW w:w="710" w:type="dxa"/>
            <w:vAlign w:val="center"/>
          </w:tcPr>
          <w:p w:rsidR="00822246" w:rsidRPr="00987A59" w:rsidRDefault="00822246" w:rsidP="00A22DC7">
            <w:pPr>
              <w:spacing w:line="276" w:lineRule="auto"/>
              <w:ind w:left="-958"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7A5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87A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070" w:type="dxa"/>
          </w:tcPr>
          <w:p w:rsidR="00822246" w:rsidRPr="00987A59" w:rsidRDefault="00822246" w:rsidP="00822246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7A5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987A59">
              <w:rPr>
                <w:rFonts w:ascii="Times New Roman" w:hAnsi="Times New Roman" w:cs="Times New Roman"/>
                <w:sz w:val="28"/>
                <w:szCs w:val="28"/>
              </w:rPr>
              <w:t>айданчики для занять фізкультурою</w:t>
            </w:r>
          </w:p>
        </w:tc>
        <w:tc>
          <w:tcPr>
            <w:tcW w:w="1843" w:type="dxa"/>
            <w:vAlign w:val="center"/>
          </w:tcPr>
          <w:p w:rsidR="00822246" w:rsidRPr="00987A59" w:rsidRDefault="00822246" w:rsidP="00A22DC7">
            <w:pPr>
              <w:spacing w:line="276" w:lineRule="auto"/>
              <w:ind w:left="-958"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7A59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190" w:type="dxa"/>
            <w:vAlign w:val="center"/>
          </w:tcPr>
          <w:p w:rsidR="00822246" w:rsidRPr="00987A59" w:rsidRDefault="00822246" w:rsidP="00A22DC7">
            <w:pPr>
              <w:spacing w:line="276" w:lineRule="auto"/>
              <w:ind w:left="-958"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7A59"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</w:tr>
      <w:tr w:rsidR="00822246" w:rsidRPr="00987A59" w:rsidTr="00822246">
        <w:tc>
          <w:tcPr>
            <w:tcW w:w="710" w:type="dxa"/>
            <w:vAlign w:val="center"/>
          </w:tcPr>
          <w:p w:rsidR="00822246" w:rsidRPr="00987A59" w:rsidRDefault="00822246" w:rsidP="00A22DC7">
            <w:pPr>
              <w:spacing w:line="276" w:lineRule="auto"/>
              <w:ind w:left="-958"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7A5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987A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070" w:type="dxa"/>
          </w:tcPr>
          <w:p w:rsidR="00822246" w:rsidRPr="00987A59" w:rsidRDefault="00822246" w:rsidP="00A22DC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7A59">
              <w:rPr>
                <w:rFonts w:ascii="Times New Roman" w:hAnsi="Times New Roman" w:cs="Times New Roman"/>
                <w:sz w:val="28"/>
                <w:szCs w:val="28"/>
              </w:rPr>
              <w:t>Майданчики для господарських цілей</w:t>
            </w:r>
          </w:p>
        </w:tc>
        <w:tc>
          <w:tcPr>
            <w:tcW w:w="1843" w:type="dxa"/>
            <w:vAlign w:val="center"/>
          </w:tcPr>
          <w:p w:rsidR="00822246" w:rsidRPr="00987A59" w:rsidRDefault="00822246" w:rsidP="00A22DC7">
            <w:pPr>
              <w:spacing w:line="276" w:lineRule="auto"/>
              <w:ind w:left="-958"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7A59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190" w:type="dxa"/>
            <w:vAlign w:val="center"/>
          </w:tcPr>
          <w:p w:rsidR="00822246" w:rsidRPr="00987A59" w:rsidRDefault="00822246" w:rsidP="00A22DC7">
            <w:pPr>
              <w:spacing w:line="276" w:lineRule="auto"/>
              <w:ind w:left="-958"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7A59">
              <w:rPr>
                <w:rFonts w:ascii="Times New Roman" w:hAnsi="Times New Roman" w:cs="Times New Roman"/>
                <w:sz w:val="28"/>
                <w:szCs w:val="28"/>
              </w:rPr>
              <w:t>384</w:t>
            </w:r>
          </w:p>
        </w:tc>
      </w:tr>
      <w:tr w:rsidR="00822246" w:rsidRPr="00987A59" w:rsidTr="00822246">
        <w:tc>
          <w:tcPr>
            <w:tcW w:w="710" w:type="dxa"/>
            <w:vAlign w:val="center"/>
          </w:tcPr>
          <w:p w:rsidR="00822246" w:rsidRPr="00987A59" w:rsidRDefault="00822246" w:rsidP="00A22DC7">
            <w:pPr>
              <w:spacing w:line="276" w:lineRule="auto"/>
              <w:ind w:left="-958"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7A5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987A5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070" w:type="dxa"/>
          </w:tcPr>
          <w:p w:rsidR="00822246" w:rsidRPr="00987A59" w:rsidRDefault="00822246" w:rsidP="00822246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7A59">
              <w:rPr>
                <w:rFonts w:ascii="Times New Roman" w:hAnsi="Times New Roman" w:cs="Times New Roman"/>
                <w:sz w:val="28"/>
                <w:szCs w:val="28"/>
              </w:rPr>
              <w:t>Майданчики для стоянки автомашин</w:t>
            </w:r>
          </w:p>
        </w:tc>
        <w:tc>
          <w:tcPr>
            <w:tcW w:w="1843" w:type="dxa"/>
            <w:vAlign w:val="center"/>
          </w:tcPr>
          <w:p w:rsidR="00822246" w:rsidRPr="00987A59" w:rsidRDefault="00822246" w:rsidP="00822246">
            <w:pPr>
              <w:spacing w:line="276" w:lineRule="auto"/>
              <w:ind w:left="-958"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7A59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987A5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90" w:type="dxa"/>
            <w:vAlign w:val="center"/>
          </w:tcPr>
          <w:p w:rsidR="00822246" w:rsidRPr="00987A59" w:rsidRDefault="00822246" w:rsidP="00A22DC7">
            <w:pPr>
              <w:spacing w:line="276" w:lineRule="auto"/>
              <w:ind w:left="-958"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7A59"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</w:tr>
    </w:tbl>
    <w:p w:rsidR="00822246" w:rsidRPr="00987A59" w:rsidRDefault="00822246" w:rsidP="00C27C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:rsidR="00C27C5B" w:rsidRPr="00987A59" w:rsidRDefault="00C27C5B" w:rsidP="00C27C5B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sz w:val="28"/>
          <w:szCs w:val="28"/>
          <w:lang w:eastAsia="uk-UA"/>
        </w:rPr>
        <w:br w:type="page"/>
      </w:r>
    </w:p>
    <w:p w:rsidR="0031030A" w:rsidRPr="00987A59" w:rsidRDefault="004F0E17" w:rsidP="00DA58F8">
      <w:pPr>
        <w:pStyle w:val="1"/>
        <w:spacing w:before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uk-UA"/>
        </w:rPr>
      </w:pPr>
      <w:bookmarkStart w:id="10" w:name="_Toc510468027"/>
      <w:r w:rsidRPr="00987A59">
        <w:rPr>
          <w:rFonts w:ascii="Times New Roman" w:hAnsi="Times New Roman" w:cs="Times New Roman"/>
          <w:color w:val="000000" w:themeColor="text1"/>
          <w:lang w:eastAsia="uk-UA"/>
        </w:rPr>
        <w:lastRenderedPageBreak/>
        <w:t xml:space="preserve">2.3. </w:t>
      </w:r>
      <w:r w:rsidR="0000733B" w:rsidRPr="00987A59">
        <w:rPr>
          <w:rFonts w:ascii="Times New Roman" w:hAnsi="Times New Roman" w:cs="Times New Roman"/>
          <w:color w:val="000000" w:themeColor="text1"/>
          <w:lang w:eastAsia="uk-UA"/>
        </w:rPr>
        <w:t>Озеленення території</w:t>
      </w:r>
      <w:bookmarkEnd w:id="10"/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Зелені насадження на території групи житлових будинків незалежно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від їхнього функціонального призначення використовують для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формування сприятливого для людини навколишнього середовища і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збагачення архітектурно-планувальної композиції дворового простору.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У практиці проектування озеленення житлових груп існує два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прийоми: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– створення в кожному житловому будинку своєрідного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мікросаду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;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– об'єднання вільних ділянок біля групи будинків у один порівняно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великий зелений масив.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Другий прийом дозволяє створити більш сприятливі мікрокліматичні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умови для дітей і дорослих, а також створити сприятливі умови для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розвитку рослин і догляду за ними.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При проектуванні насаджень на території житлової групи слід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забезпечувати: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– зручний пішохідний зв'язок з усіма спорудами і майданчиками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подвір'я;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– можливість під'їзду до житлових будинків і дитячих установ,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– надійний захист від шуму, пилюки і загазованості;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– розмежування різноманітних за призначенням майданчиків: для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відпочинку дорослих, для ігор дітей, для занять фізкультурою,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господарських і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т.д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.;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– затінення пішохідних зон і зон відпочинку;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– гарні композиції дерев, чагарників і квітів, застосовуючи,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головним чином, вільне пейзажне планування;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– розміщення декоративних рослинних угруповань з урахуванням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їхнього сприйняття з доріжок і алей.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При озелененні дворового простору слід користуватися невеликою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кількістю асортименту декоративної рослинності (не більш 12-15 найменувань).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Основою оформлення відкритих просторів вважається газон. Зелені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насадження подвір'я житлових груп мікрорайону належать до групи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насаджень спільного користування для мешканців однієї групи. Вони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нормуються залежно від поверховості забудови і норм забезпеченості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житловою площею на одного мешканця. Норму площі озелененої території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житлового кварталу, мікрорайону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>слід приймати з розрахунку на одного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мешканця не менше 6 м: (без урахування території шкіл і дитячих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дошкільних установ).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Територію групи житлових будинків бажано розбити на ділянки, що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мають різноманітне функціональне призначення, і тому озеленювати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необхідно залежно від особливостей їхнього використання.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Озеленення прибудинкових смуг має поліпшити гігієнічний стан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житла, понизити радіаційні температури і температуру повітря, підвищити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його відносну вологість, знизити запиленість, загазованість і насиченість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хвороботворними мікробами, поліпшити шумовий режим. Важливий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фактор – естетичне значення прибудинкових озеленених смуг, що повинні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сприяти створенню у жителів позитивних емоцій і формуванню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своєрідного перехідного середовища між квартирою з її інтимною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обстановкою і значними масштабами міської забудови.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Відповідно до вимог ДБН 360-92** відстань між будинком і віссю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дерева має бути понад 5 м, тому ширину прибудинкової смути необхідно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проектувати в межах не менше 8 і не більше 9 м. Верхня межа обмежена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тепловим впливом стін на навколишній простір.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Прибудинкові смуги слід покривати газоном. На фоні газону добре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сприймаються поодинокі дерева та групи дерев, квітучі чагарники, квіти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багатолітників. Проте не варто припускати змішування багатьох видів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рослин, досить різноманітних об'ємних форм і малюнків. Композиція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насаджень повинна відрізнятися лаконічністю форм і ясністю колірного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вирішення. Можуть бути використані плодові насадження.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 умовах перегріву поверхні стін необхідно передбачати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вертикальне озеленення.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Для прибудинкової смуги, розташованої з боку входів до будинків,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характерні регулярні прийоми озеленення, а для смуги, розміщуваної з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протилежного боку будинків, бажані більш мальовничі ландшафтні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композиції.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Майданчики відпочинку залежно від прийому озеленення можуть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бути закритим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и, напіввідкритими і відкритими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.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Вони відрізняються характером перспектив і глибиною пейзажів, що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розкриваються перед відпочиваючими на цих майданчиках: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- закриті майданчики з усіх боків обмежені насадженнями, що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перешкоджають зоровому сприйняттю прилягаючих просторів;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>- напіввідкриті майданчики частково обмежені насадженнями, з їхньої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території у визначених напрямках відкриваються прилягаючі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простори; з відкритих майданчиків відкривається огляд дворового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простору майже в усіх напрямках.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Майданчики відпочинку повинні мати 60% затінення території. Для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часткового затінення майданчиків із південної і південно-західної сторони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варто розміщувати дерева з щільною розкинутою кроною. Якщо значних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дерев немає, затінення створюється влаштуванням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пергол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 трельяжів із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кучерявими рослинами. На окремих майданчиках тихого відпочинку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влаштовують невеликі басейни для водяних рослин, встановлюють вази і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квіткарки.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Дитячі ігрові майданчики мають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ізолюватися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зеленими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насадженнями від господарських зон, проїздів, стоянок автомобілів і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інтенсивних шляхів пішохідного прямування. Навколо майданчиків і на їх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території не має бути дерев і чагарників із шипами, колючками і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отруйними плодами. Для озеленення не рекомендується застосовувати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плодово-ягідні породи.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Для часткового затінення дитячих майданчиків із південно-західної і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західної сторони рекомендується висаджувати дерева зі щільними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кронами. З західної сторони можна влаштовувати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трельяжі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 повиті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ліанами.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На майданчиках для дошкільників рекомендується висаджувати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1-2 дерева з низьким штамбом і розкинутою кроною, призначених для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лазіння. Не рекомендується саджати високі дерева по всьому периметру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майданчика, тому що це викликає зменшення інсоляції і провітрювання.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Навколо господарських майданчиків висаджують захисні смуги у вигляді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рядів дерев і чагарників з наміром їхньої ізоляції, провітрювання.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Майданчики для сушіння білизни обрамовують із північної сторони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зеленими насадженнями. З півдня майданчик має бути відкритим назустріч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променям сонця.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Навколо майданчика для чищення хатніх речей висаджують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чагарник, що має пилозахисні властивості, а також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густокронні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дерева з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північного боку. При розміщенні насаджень варто враховувати гарну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опромінюваність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майданчика сонцем, особливо в ранкові години.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Майданчики для сміттєзбиральників рекомендується обсаджувати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щільним живоплотом із чагарників, що мають фітонцидні властивості.</w:t>
      </w:r>
    </w:p>
    <w:p w:rsidR="004F0E17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>Рекомендується також максимальне затінення майданчиків деревами з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рясною кроною, особливо з південного боку.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Навколо спортивних майданчиків, що розміщені на території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подвір'я, рекомендується по периметру влаштовувати щільну смугу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зелених насаджень шириною не менше 5 м.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Для території, розташованої поза майданчиками, озеленення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вирішується з урахуванням його гарного сприйняття як із вікон житлових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будинків, так і з прогулянкових доріжок і майданчиків відпочинку.</w:t>
      </w:r>
    </w:p>
    <w:p w:rsidR="0031030A" w:rsidRPr="00987A59" w:rsidRDefault="0031030A" w:rsidP="00822246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Головні види озеленення житлових територій – це одиночні і групові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посадки дерев і чагарників у поєднанні з трав'янистими газонами. 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Для захисного озеленення рекомендується застосовувати такі породи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дерев і чагарників: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1) для шумозахисту – клен гостролистий, в'яз звичайний, липа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дрібнолиста, тополя бальзамічна, ялина звичайна, модрина сибірська,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таволга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калинолиста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 жимолость татарська, акація жовта, гордовина, глід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сибірський, дерен білий;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2) для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газозахисту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– клен пенсільванський,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деревогубець</w:t>
      </w:r>
      <w:proofErr w:type="spellEnd"/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плетеневидний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 каркас південний, ліщина маньчжурська, гледичія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трьохколючкова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тополя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крупнолиста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 сіра, чорна (осокір), тополя канадська,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гранат, айлант найвищий, акація біла, шовковиця біла, аґрус (усі види),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плющ звичайний, ялівець козацький,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муносіменник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канадський і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дакрський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аморфа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чагарникова, берестів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перистогіллястий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 бирючина звичайна;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3) для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пилозахисту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(по спроможності рослин акумулювати з повітря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пилюку за вегетаційний період, кг) – в'яз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перистогіллястий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– 28; в'яз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шорсткий – 23; верба біла, плакуча – 38; каштан кінський – 16; клен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(сріблястий – 13, татарський – 12, польовий – 20, гостролистий – 28,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ясенелистий – 33); тополя (канадська – 34, туркестанська – 13, Білле – 18);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шовковиця біла – 31; ясен (зелений – 30, звичайний – 27); акація жовта –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0,2;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аморфа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– 0,2; бересклет бородавчастий – 0,6; бирючина звичайна – 0,3;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бузина червона – 0,4; лох вузьколистий – 2,0; бузок звичайний –1,6;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таволга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Вангутта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– 0,5; смородина золотава – 0,4;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4) для вітрозахисних посадок і затінення території порідний склад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підбирають залежно від щільності крони.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За щільністю крони дерева поділяються на три групи: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>- дерева з щільною кроною (просвітки складають не більш 10%); каштан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кінський, клен гостролистий, сосна кримська, ялина звичайна, бук лісовий,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дуб звичайний, липа дрібнолиста та ін.;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- дерева з кроною середньої щільності (просвітки складають 20-40%);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клен ясенелистий, в'яз дрібнолистий, горіх грецький тощо;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- дерева з ажурною кроною (просвітки складають 40% і більш):</w:t>
      </w:r>
    </w:p>
    <w:p w:rsidR="00C27C5B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мімоза, береза бородавчаста, горобина звичайна, гледичія трилиста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val="ru-RU"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та ін.</w:t>
      </w:r>
    </w:p>
    <w:p w:rsidR="00822246" w:rsidRPr="00987A59" w:rsidRDefault="00822246" w:rsidP="00822246">
      <w:pPr>
        <w:pStyle w:val="a3"/>
        <w:spacing w:line="360" w:lineRule="auto"/>
        <w:ind w:firstLine="851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uk-UA"/>
        </w:rPr>
        <w:t xml:space="preserve">Таблиця – 6 </w:t>
      </w:r>
    </w:p>
    <w:p w:rsidR="00822246" w:rsidRPr="00987A59" w:rsidRDefault="00822246" w:rsidP="00822246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uk-UA"/>
        </w:rPr>
        <w:t>Асортиментна відомість рослинних угруповань</w:t>
      </w:r>
    </w:p>
    <w:tbl>
      <w:tblPr>
        <w:tblStyle w:val="a9"/>
        <w:tblW w:w="9605" w:type="dxa"/>
        <w:tblLook w:val="04A0" w:firstRow="1" w:lastRow="0" w:firstColumn="1" w:lastColumn="0" w:noHBand="0" w:noVBand="1"/>
      </w:tblPr>
      <w:tblGrid>
        <w:gridCol w:w="675"/>
        <w:gridCol w:w="3125"/>
        <w:gridCol w:w="1836"/>
        <w:gridCol w:w="3969"/>
      </w:tblGrid>
      <w:tr w:rsidR="00822246" w:rsidRPr="00987A59" w:rsidTr="00A22DC7">
        <w:tc>
          <w:tcPr>
            <w:tcW w:w="675" w:type="dxa"/>
          </w:tcPr>
          <w:p w:rsidR="00822246" w:rsidRPr="00987A59" w:rsidRDefault="00822246" w:rsidP="00A22DC7">
            <w:pPr>
              <w:pStyle w:val="a3"/>
              <w:spacing w:line="360" w:lineRule="auto"/>
              <w:ind w:left="-18" w:firstLine="18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987A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№</w:t>
            </w:r>
          </w:p>
        </w:tc>
        <w:tc>
          <w:tcPr>
            <w:tcW w:w="3125" w:type="dxa"/>
          </w:tcPr>
          <w:p w:rsidR="00822246" w:rsidRPr="00987A59" w:rsidRDefault="00822246" w:rsidP="00A22DC7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987A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Найменування</w:t>
            </w:r>
          </w:p>
        </w:tc>
        <w:tc>
          <w:tcPr>
            <w:tcW w:w="1836" w:type="dxa"/>
          </w:tcPr>
          <w:p w:rsidR="00822246" w:rsidRPr="00987A59" w:rsidRDefault="00822246" w:rsidP="00A22DC7">
            <w:pPr>
              <w:pStyle w:val="a3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987A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Кількість екземплярів</w:t>
            </w:r>
          </w:p>
        </w:tc>
        <w:tc>
          <w:tcPr>
            <w:tcW w:w="3969" w:type="dxa"/>
          </w:tcPr>
          <w:p w:rsidR="00822246" w:rsidRPr="00987A59" w:rsidRDefault="00822246" w:rsidP="00A22DC7">
            <w:pPr>
              <w:autoSpaceDE w:val="0"/>
              <w:autoSpaceDN w:val="0"/>
              <w:adjustRightInd w:val="0"/>
              <w:spacing w:line="360" w:lineRule="auto"/>
              <w:ind w:firstLine="34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987A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Декоративне і функціональне значення угрупування</w:t>
            </w:r>
          </w:p>
        </w:tc>
      </w:tr>
      <w:tr w:rsidR="00822246" w:rsidRPr="00987A59" w:rsidTr="00A22DC7">
        <w:tc>
          <w:tcPr>
            <w:tcW w:w="675" w:type="dxa"/>
            <w:vAlign w:val="center"/>
          </w:tcPr>
          <w:p w:rsidR="00822246" w:rsidRPr="00987A59" w:rsidRDefault="00822246" w:rsidP="00A22DC7">
            <w:pPr>
              <w:pStyle w:val="a3"/>
              <w:spacing w:line="360" w:lineRule="auto"/>
              <w:ind w:left="-18" w:firstLine="18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987A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1.</w:t>
            </w:r>
          </w:p>
        </w:tc>
        <w:tc>
          <w:tcPr>
            <w:tcW w:w="3125" w:type="dxa"/>
            <w:vAlign w:val="center"/>
          </w:tcPr>
          <w:p w:rsidR="00822246" w:rsidRPr="00987A59" w:rsidRDefault="00822246" w:rsidP="00A22DC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987A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Клен гостролистий</w:t>
            </w:r>
          </w:p>
        </w:tc>
        <w:tc>
          <w:tcPr>
            <w:tcW w:w="1836" w:type="dxa"/>
            <w:vAlign w:val="center"/>
          </w:tcPr>
          <w:p w:rsidR="00822246" w:rsidRPr="00987A59" w:rsidRDefault="00987A59" w:rsidP="00A22DC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987A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11</w:t>
            </w:r>
          </w:p>
        </w:tc>
        <w:tc>
          <w:tcPr>
            <w:tcW w:w="3969" w:type="dxa"/>
            <w:vAlign w:val="center"/>
          </w:tcPr>
          <w:p w:rsidR="00822246" w:rsidRPr="00987A59" w:rsidRDefault="00987A59" w:rsidP="00A22DC7">
            <w:pPr>
              <w:pStyle w:val="a3"/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987A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Оформлення пішохідної зони та затінення території</w:t>
            </w:r>
          </w:p>
        </w:tc>
      </w:tr>
      <w:tr w:rsidR="00822246" w:rsidRPr="00987A59" w:rsidTr="00A22DC7">
        <w:tc>
          <w:tcPr>
            <w:tcW w:w="675" w:type="dxa"/>
            <w:vAlign w:val="center"/>
          </w:tcPr>
          <w:p w:rsidR="00822246" w:rsidRPr="00987A59" w:rsidRDefault="00822246" w:rsidP="00A22DC7">
            <w:pPr>
              <w:pStyle w:val="a3"/>
              <w:spacing w:line="360" w:lineRule="auto"/>
              <w:ind w:left="-18" w:firstLine="18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987A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2.</w:t>
            </w:r>
          </w:p>
        </w:tc>
        <w:tc>
          <w:tcPr>
            <w:tcW w:w="3125" w:type="dxa"/>
            <w:vAlign w:val="center"/>
          </w:tcPr>
          <w:p w:rsidR="00822246" w:rsidRPr="00987A59" w:rsidRDefault="00987A59" w:rsidP="00A22DC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987A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Береза паперова</w:t>
            </w:r>
          </w:p>
        </w:tc>
        <w:tc>
          <w:tcPr>
            <w:tcW w:w="1836" w:type="dxa"/>
            <w:vAlign w:val="center"/>
          </w:tcPr>
          <w:p w:rsidR="00822246" w:rsidRPr="00987A59" w:rsidRDefault="00987A59" w:rsidP="00A22DC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987A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9</w:t>
            </w:r>
          </w:p>
        </w:tc>
        <w:tc>
          <w:tcPr>
            <w:tcW w:w="3969" w:type="dxa"/>
            <w:vAlign w:val="center"/>
          </w:tcPr>
          <w:p w:rsidR="00822246" w:rsidRPr="00987A59" w:rsidRDefault="00987A59" w:rsidP="00A22DC7">
            <w:pPr>
              <w:pStyle w:val="a3"/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987A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Оформлення пішохідної зони та затінення території</w:t>
            </w:r>
          </w:p>
        </w:tc>
      </w:tr>
      <w:tr w:rsidR="00822246" w:rsidRPr="00987A59" w:rsidTr="00A22DC7">
        <w:tc>
          <w:tcPr>
            <w:tcW w:w="675" w:type="dxa"/>
            <w:vAlign w:val="center"/>
          </w:tcPr>
          <w:p w:rsidR="00822246" w:rsidRPr="00987A59" w:rsidRDefault="00822246" w:rsidP="00A22DC7">
            <w:pPr>
              <w:pStyle w:val="a3"/>
              <w:spacing w:line="360" w:lineRule="auto"/>
              <w:ind w:left="-18" w:firstLine="18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987A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3.</w:t>
            </w:r>
          </w:p>
        </w:tc>
        <w:tc>
          <w:tcPr>
            <w:tcW w:w="3125" w:type="dxa"/>
            <w:vAlign w:val="center"/>
          </w:tcPr>
          <w:p w:rsidR="00822246" w:rsidRPr="00987A59" w:rsidRDefault="00987A59" w:rsidP="00A22DC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proofErr w:type="spellStart"/>
            <w:r w:rsidRPr="00987A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Вяз</w:t>
            </w:r>
            <w:proofErr w:type="spellEnd"/>
            <w:r w:rsidRPr="00987A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 xml:space="preserve"> дрібнолистий</w:t>
            </w:r>
          </w:p>
        </w:tc>
        <w:tc>
          <w:tcPr>
            <w:tcW w:w="1836" w:type="dxa"/>
            <w:vAlign w:val="center"/>
          </w:tcPr>
          <w:p w:rsidR="00822246" w:rsidRPr="00987A59" w:rsidRDefault="00987A59" w:rsidP="00A22DC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987A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11</w:t>
            </w:r>
          </w:p>
        </w:tc>
        <w:tc>
          <w:tcPr>
            <w:tcW w:w="3969" w:type="dxa"/>
            <w:vAlign w:val="center"/>
          </w:tcPr>
          <w:p w:rsidR="00822246" w:rsidRPr="00987A59" w:rsidRDefault="00822246" w:rsidP="00987A59">
            <w:pPr>
              <w:pStyle w:val="a3"/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987A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 xml:space="preserve">Оформлення пішохідної </w:t>
            </w:r>
            <w:r w:rsidR="00987A59" w:rsidRPr="00987A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зони</w:t>
            </w:r>
            <w:r w:rsidRPr="00987A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 xml:space="preserve"> та затінення території</w:t>
            </w:r>
          </w:p>
        </w:tc>
      </w:tr>
      <w:tr w:rsidR="00987A59" w:rsidRPr="00987A59" w:rsidTr="008E4D3F">
        <w:tc>
          <w:tcPr>
            <w:tcW w:w="9605" w:type="dxa"/>
            <w:gridSpan w:val="4"/>
            <w:vAlign w:val="center"/>
          </w:tcPr>
          <w:p w:rsidR="00987A59" w:rsidRPr="00987A59" w:rsidRDefault="00987A59" w:rsidP="00987A59">
            <w:pPr>
              <w:pStyle w:val="a3"/>
              <w:spacing w:line="360" w:lineRule="auto"/>
              <w:ind w:firstLine="34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987A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Рядові насадження:</w:t>
            </w:r>
          </w:p>
        </w:tc>
      </w:tr>
      <w:tr w:rsidR="00822246" w:rsidRPr="00987A59" w:rsidTr="00A22DC7">
        <w:tc>
          <w:tcPr>
            <w:tcW w:w="675" w:type="dxa"/>
            <w:vAlign w:val="center"/>
          </w:tcPr>
          <w:p w:rsidR="00822246" w:rsidRPr="00987A59" w:rsidRDefault="00822246" w:rsidP="00A22DC7">
            <w:pPr>
              <w:pStyle w:val="a3"/>
              <w:spacing w:line="360" w:lineRule="auto"/>
              <w:ind w:left="-18" w:firstLine="18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987A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4.</w:t>
            </w:r>
          </w:p>
        </w:tc>
        <w:tc>
          <w:tcPr>
            <w:tcW w:w="3125" w:type="dxa"/>
            <w:vAlign w:val="center"/>
          </w:tcPr>
          <w:p w:rsidR="00822246" w:rsidRPr="00987A59" w:rsidRDefault="00987A59" w:rsidP="00A22DC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987A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 xml:space="preserve">Дуб </w:t>
            </w:r>
            <w:proofErr w:type="spellStart"/>
            <w:r w:rsidRPr="00987A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черещатий</w:t>
            </w:r>
            <w:proofErr w:type="spellEnd"/>
            <w:r w:rsidRPr="00987A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987A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Фастігіата</w:t>
            </w:r>
            <w:proofErr w:type="spellEnd"/>
          </w:p>
        </w:tc>
        <w:tc>
          <w:tcPr>
            <w:tcW w:w="1836" w:type="dxa"/>
            <w:vAlign w:val="center"/>
          </w:tcPr>
          <w:p w:rsidR="00822246" w:rsidRPr="00987A59" w:rsidRDefault="00987A59" w:rsidP="00A22DC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987A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272 м</w:t>
            </w:r>
          </w:p>
        </w:tc>
        <w:tc>
          <w:tcPr>
            <w:tcW w:w="3969" w:type="dxa"/>
            <w:vAlign w:val="center"/>
          </w:tcPr>
          <w:p w:rsidR="00822246" w:rsidRPr="00987A59" w:rsidRDefault="00987A59" w:rsidP="00A22DC7">
            <w:pPr>
              <w:pStyle w:val="a3"/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987A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Шумозахисне та пилозахисне  озеленення</w:t>
            </w:r>
          </w:p>
        </w:tc>
      </w:tr>
      <w:tr w:rsidR="00822246" w:rsidRPr="00987A59" w:rsidTr="00A22DC7">
        <w:tc>
          <w:tcPr>
            <w:tcW w:w="675" w:type="dxa"/>
            <w:vAlign w:val="center"/>
          </w:tcPr>
          <w:p w:rsidR="00822246" w:rsidRPr="00987A59" w:rsidRDefault="00822246" w:rsidP="00A22DC7">
            <w:pPr>
              <w:pStyle w:val="a3"/>
              <w:spacing w:line="360" w:lineRule="auto"/>
              <w:ind w:left="-18" w:firstLine="18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987A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5.</w:t>
            </w:r>
          </w:p>
        </w:tc>
        <w:tc>
          <w:tcPr>
            <w:tcW w:w="3125" w:type="dxa"/>
            <w:vAlign w:val="center"/>
          </w:tcPr>
          <w:p w:rsidR="00822246" w:rsidRPr="00987A59" w:rsidRDefault="00822246" w:rsidP="00987A59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proofErr w:type="spellStart"/>
            <w:r w:rsidRPr="00987A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Спірея</w:t>
            </w:r>
            <w:proofErr w:type="spellEnd"/>
            <w:r w:rsidRPr="00987A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="00987A59" w:rsidRPr="00987A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калинолиста</w:t>
            </w:r>
            <w:proofErr w:type="spellEnd"/>
          </w:p>
        </w:tc>
        <w:tc>
          <w:tcPr>
            <w:tcW w:w="1836" w:type="dxa"/>
            <w:vAlign w:val="center"/>
          </w:tcPr>
          <w:p w:rsidR="00822246" w:rsidRPr="00987A59" w:rsidRDefault="00987A59" w:rsidP="00A22DC7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987A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272 м</w:t>
            </w:r>
          </w:p>
        </w:tc>
        <w:tc>
          <w:tcPr>
            <w:tcW w:w="3969" w:type="dxa"/>
            <w:vAlign w:val="center"/>
          </w:tcPr>
          <w:p w:rsidR="00822246" w:rsidRPr="00987A59" w:rsidRDefault="00987A59" w:rsidP="00A22DC7">
            <w:pPr>
              <w:pStyle w:val="a3"/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</w:pPr>
            <w:r w:rsidRPr="00987A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uk-UA"/>
              </w:rPr>
              <w:t>Шумозахисне та пилозахисне  озеленення</w:t>
            </w:r>
          </w:p>
        </w:tc>
      </w:tr>
    </w:tbl>
    <w:p w:rsidR="00822246" w:rsidRPr="00987A59" w:rsidRDefault="00822246" w:rsidP="00C27C5B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:rsidR="00C27C5B" w:rsidRPr="00987A59" w:rsidRDefault="00C27C5B" w:rsidP="00C27C5B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sz w:val="28"/>
          <w:szCs w:val="28"/>
          <w:lang w:eastAsia="uk-UA"/>
        </w:rPr>
        <w:br w:type="page"/>
      </w:r>
    </w:p>
    <w:p w:rsidR="0031030A" w:rsidRPr="00987A59" w:rsidRDefault="004F0E17" w:rsidP="00DA58F8">
      <w:pPr>
        <w:pStyle w:val="1"/>
        <w:spacing w:before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uk-UA"/>
        </w:rPr>
      </w:pPr>
      <w:bookmarkStart w:id="11" w:name="_Toc510468028"/>
      <w:r w:rsidRPr="00987A59">
        <w:rPr>
          <w:rFonts w:ascii="Times New Roman" w:hAnsi="Times New Roman" w:cs="Times New Roman"/>
          <w:color w:val="000000" w:themeColor="text1"/>
          <w:lang w:eastAsia="uk-UA"/>
        </w:rPr>
        <w:lastRenderedPageBreak/>
        <w:t xml:space="preserve">2.4. </w:t>
      </w:r>
      <w:r w:rsidR="0000733B" w:rsidRPr="00987A59">
        <w:rPr>
          <w:rFonts w:ascii="Times New Roman" w:hAnsi="Times New Roman" w:cs="Times New Roman"/>
          <w:color w:val="000000" w:themeColor="text1"/>
          <w:lang w:eastAsia="uk-UA"/>
        </w:rPr>
        <w:t>Техніко-економічні показники та баланс території</w:t>
      </w:r>
      <w:bookmarkEnd w:id="11"/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На підставі оцінки комфортності території за умовами аерації,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інсоляції, за рівнями шуму і загазованості, наміри і розміщення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майданчиків різноманітного призначення, схеми трасування пішохідних і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транспортних шляхів, вибору конструкцій дорожніх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одягів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 схеми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трасування і методу прокладки інженерних мереж, вирішення питань</w:t>
      </w:r>
      <w:r w:rsidR="00C27C5B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озеленення – розробляються варіанти благоустрою житлових територій.</w:t>
      </w:r>
    </w:p>
    <w:p w:rsidR="00987A59" w:rsidRPr="00987A59" w:rsidRDefault="00987A59" w:rsidP="00987A59">
      <w:pPr>
        <w:pStyle w:val="a3"/>
        <w:spacing w:line="360" w:lineRule="auto"/>
        <w:ind w:firstLine="851"/>
        <w:jc w:val="right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uk-UA"/>
        </w:rPr>
        <w:t>Таблиця – 7</w:t>
      </w:r>
    </w:p>
    <w:p w:rsidR="00987A59" w:rsidRPr="00987A59" w:rsidRDefault="00987A59" w:rsidP="00987A59">
      <w:pPr>
        <w:pStyle w:val="a3"/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uk-UA"/>
        </w:rPr>
        <w:t>Т</w:t>
      </w:r>
      <w:r w:rsidRPr="00987A59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uk-UA"/>
        </w:rPr>
        <w:t>ехніко-економічн</w:t>
      </w:r>
      <w:r w:rsidRPr="00987A59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uk-UA"/>
        </w:rPr>
        <w:t>і</w:t>
      </w:r>
      <w:r w:rsidRPr="00987A59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uk-UA"/>
        </w:rPr>
        <w:t xml:space="preserve"> показник</w:t>
      </w:r>
      <w:r w:rsidRPr="00987A59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uk-UA"/>
        </w:rPr>
        <w:t>и</w:t>
      </w:r>
      <w:r w:rsidRPr="00987A59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 w:rsidRPr="00987A59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uk-UA"/>
        </w:rPr>
        <w:t>житлової території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"/>
        <w:gridCol w:w="3860"/>
        <w:gridCol w:w="2415"/>
        <w:gridCol w:w="1827"/>
      </w:tblGrid>
      <w:tr w:rsidR="00987A59" w:rsidRPr="00987A59" w:rsidTr="00A22DC7">
        <w:trPr>
          <w:trHeight w:val="1196"/>
          <w:jc w:val="center"/>
        </w:trPr>
        <w:tc>
          <w:tcPr>
            <w:tcW w:w="1035" w:type="dxa"/>
            <w:shd w:val="clear" w:color="auto" w:fill="auto"/>
            <w:vAlign w:val="center"/>
          </w:tcPr>
          <w:p w:rsidR="00987A59" w:rsidRPr="00987A59" w:rsidRDefault="00987A59" w:rsidP="00A22DC7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59">
              <w:rPr>
                <w:rFonts w:ascii="Times New Roman" w:eastAsia="Calibri" w:hAnsi="Times New Roman" w:cs="Times New Roman"/>
                <w:sz w:val="28"/>
                <w:szCs w:val="28"/>
              </w:rPr>
              <w:t>№</w:t>
            </w:r>
          </w:p>
          <w:p w:rsidR="00987A59" w:rsidRPr="00987A59" w:rsidRDefault="00987A59" w:rsidP="00A22DC7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59">
              <w:rPr>
                <w:rFonts w:ascii="Times New Roman" w:eastAsia="Calibri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3860" w:type="dxa"/>
            <w:shd w:val="clear" w:color="auto" w:fill="auto"/>
            <w:vAlign w:val="center"/>
          </w:tcPr>
          <w:p w:rsidR="00987A59" w:rsidRPr="00987A59" w:rsidRDefault="00987A59" w:rsidP="00A22DC7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987A59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Назва показника</w:t>
            </w:r>
          </w:p>
        </w:tc>
        <w:tc>
          <w:tcPr>
            <w:tcW w:w="2415" w:type="dxa"/>
            <w:shd w:val="clear" w:color="auto" w:fill="auto"/>
            <w:vAlign w:val="center"/>
          </w:tcPr>
          <w:p w:rsidR="00987A59" w:rsidRPr="00987A59" w:rsidRDefault="00987A59" w:rsidP="00A22DC7">
            <w:pPr>
              <w:ind w:hanging="13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987A59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Одиниця виміру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987A59" w:rsidRPr="00987A59" w:rsidRDefault="00987A59" w:rsidP="00A22DC7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987A59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Значення</w:t>
            </w:r>
          </w:p>
        </w:tc>
      </w:tr>
      <w:tr w:rsidR="00987A59" w:rsidRPr="00987A59" w:rsidTr="00A22DC7">
        <w:trPr>
          <w:jc w:val="center"/>
        </w:trPr>
        <w:tc>
          <w:tcPr>
            <w:tcW w:w="1035" w:type="dxa"/>
            <w:shd w:val="clear" w:color="auto" w:fill="auto"/>
            <w:vAlign w:val="center"/>
          </w:tcPr>
          <w:p w:rsidR="00987A59" w:rsidRPr="00987A59" w:rsidRDefault="00987A59" w:rsidP="00A22DC7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5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60" w:type="dxa"/>
            <w:shd w:val="clear" w:color="auto" w:fill="auto"/>
            <w:vAlign w:val="center"/>
          </w:tcPr>
          <w:p w:rsidR="00987A59" w:rsidRPr="00987A59" w:rsidRDefault="00987A59" w:rsidP="00A22DC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59">
              <w:rPr>
                <w:rFonts w:ascii="Times New Roman" w:eastAsia="Calibri" w:hAnsi="Times New Roman" w:cs="Times New Roman"/>
                <w:sz w:val="28"/>
                <w:szCs w:val="28"/>
              </w:rPr>
              <w:t>Площа житлової території</w:t>
            </w:r>
          </w:p>
        </w:tc>
        <w:tc>
          <w:tcPr>
            <w:tcW w:w="2415" w:type="dxa"/>
            <w:shd w:val="clear" w:color="auto" w:fill="auto"/>
            <w:vAlign w:val="center"/>
          </w:tcPr>
          <w:p w:rsidR="00987A59" w:rsidRPr="00987A59" w:rsidRDefault="00987A59" w:rsidP="00A22DC7">
            <w:pPr>
              <w:ind w:hanging="13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987A59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м</w:t>
            </w:r>
            <w:r w:rsidRPr="00987A59">
              <w:rPr>
                <w:rFonts w:ascii="Times New Roman" w:eastAsia="Calibri" w:hAnsi="Times New Roman" w:cs="Times New Roman"/>
                <w:iCs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987A59" w:rsidRPr="00987A59" w:rsidRDefault="00987A59" w:rsidP="00A22DC7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987A59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27 918</w:t>
            </w:r>
          </w:p>
        </w:tc>
      </w:tr>
      <w:tr w:rsidR="00987A59" w:rsidRPr="00987A59" w:rsidTr="00A22DC7">
        <w:trPr>
          <w:jc w:val="center"/>
        </w:trPr>
        <w:tc>
          <w:tcPr>
            <w:tcW w:w="1035" w:type="dxa"/>
            <w:shd w:val="clear" w:color="auto" w:fill="auto"/>
            <w:vAlign w:val="center"/>
          </w:tcPr>
          <w:p w:rsidR="00987A59" w:rsidRPr="00987A59" w:rsidRDefault="00987A59" w:rsidP="00A22DC7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59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60" w:type="dxa"/>
            <w:shd w:val="clear" w:color="auto" w:fill="auto"/>
            <w:vAlign w:val="center"/>
          </w:tcPr>
          <w:p w:rsidR="00987A59" w:rsidRPr="00987A59" w:rsidRDefault="00987A59" w:rsidP="00A22DC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59">
              <w:rPr>
                <w:rFonts w:ascii="Times New Roman" w:eastAsia="Calibri" w:hAnsi="Times New Roman" w:cs="Times New Roman"/>
                <w:sz w:val="28"/>
                <w:szCs w:val="28"/>
              </w:rPr>
              <w:t>Площа забудови</w:t>
            </w:r>
          </w:p>
        </w:tc>
        <w:tc>
          <w:tcPr>
            <w:tcW w:w="2415" w:type="dxa"/>
            <w:shd w:val="clear" w:color="auto" w:fill="auto"/>
            <w:vAlign w:val="center"/>
          </w:tcPr>
          <w:p w:rsidR="00987A59" w:rsidRPr="00987A59" w:rsidRDefault="00987A59" w:rsidP="00A22DC7">
            <w:pPr>
              <w:ind w:hanging="13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987A59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м</w:t>
            </w:r>
            <w:r w:rsidRPr="00987A59">
              <w:rPr>
                <w:rFonts w:ascii="Times New Roman" w:eastAsia="Calibri" w:hAnsi="Times New Roman" w:cs="Times New Roman"/>
                <w:iCs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987A59" w:rsidRPr="00987A59" w:rsidRDefault="00987A59" w:rsidP="00987A59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987A59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4 </w:t>
            </w:r>
            <w:r w:rsidRPr="00987A59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706</w:t>
            </w:r>
          </w:p>
        </w:tc>
      </w:tr>
      <w:tr w:rsidR="00987A59" w:rsidRPr="00987A59" w:rsidTr="00A22DC7">
        <w:trPr>
          <w:jc w:val="center"/>
        </w:trPr>
        <w:tc>
          <w:tcPr>
            <w:tcW w:w="1035" w:type="dxa"/>
            <w:shd w:val="clear" w:color="auto" w:fill="auto"/>
            <w:vAlign w:val="center"/>
          </w:tcPr>
          <w:p w:rsidR="00987A59" w:rsidRPr="00987A59" w:rsidRDefault="00987A59" w:rsidP="00A22DC7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59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860" w:type="dxa"/>
            <w:shd w:val="clear" w:color="auto" w:fill="auto"/>
            <w:vAlign w:val="center"/>
          </w:tcPr>
          <w:p w:rsidR="00987A59" w:rsidRPr="00987A59" w:rsidRDefault="00987A59" w:rsidP="00A22DC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59">
              <w:rPr>
                <w:rFonts w:ascii="Times New Roman" w:eastAsia="Calibri" w:hAnsi="Times New Roman" w:cs="Times New Roman"/>
                <w:sz w:val="28"/>
                <w:szCs w:val="28"/>
              </w:rPr>
              <w:t>Житлова забезпеченість</w:t>
            </w:r>
          </w:p>
        </w:tc>
        <w:tc>
          <w:tcPr>
            <w:tcW w:w="2415" w:type="dxa"/>
            <w:shd w:val="clear" w:color="auto" w:fill="auto"/>
            <w:vAlign w:val="center"/>
          </w:tcPr>
          <w:p w:rsidR="00987A59" w:rsidRPr="00987A59" w:rsidRDefault="00987A59" w:rsidP="00A22DC7">
            <w:pPr>
              <w:ind w:hanging="13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987A59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м</w:t>
            </w:r>
            <w:r w:rsidRPr="00987A59">
              <w:rPr>
                <w:rFonts w:ascii="Times New Roman" w:eastAsia="Calibri" w:hAnsi="Times New Roman" w:cs="Times New Roman"/>
                <w:iCs/>
                <w:sz w:val="28"/>
                <w:szCs w:val="28"/>
                <w:vertAlign w:val="superscript"/>
              </w:rPr>
              <w:t>2</w:t>
            </w:r>
            <w:r w:rsidRPr="00987A59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/люд.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987A59" w:rsidRPr="00987A59" w:rsidRDefault="00987A59" w:rsidP="00A22DC7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987A59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21</w:t>
            </w:r>
          </w:p>
        </w:tc>
      </w:tr>
      <w:tr w:rsidR="00987A59" w:rsidRPr="00987A59" w:rsidTr="00A22DC7">
        <w:trPr>
          <w:jc w:val="center"/>
        </w:trPr>
        <w:tc>
          <w:tcPr>
            <w:tcW w:w="1035" w:type="dxa"/>
            <w:shd w:val="clear" w:color="auto" w:fill="auto"/>
            <w:vAlign w:val="center"/>
          </w:tcPr>
          <w:p w:rsidR="00987A59" w:rsidRPr="00987A59" w:rsidRDefault="00987A59" w:rsidP="00A22DC7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59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860" w:type="dxa"/>
            <w:shd w:val="clear" w:color="auto" w:fill="auto"/>
            <w:vAlign w:val="center"/>
          </w:tcPr>
          <w:p w:rsidR="00987A59" w:rsidRPr="00987A59" w:rsidRDefault="00987A59" w:rsidP="00A22DC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59">
              <w:rPr>
                <w:rFonts w:ascii="Times New Roman" w:eastAsia="Calibri" w:hAnsi="Times New Roman" w:cs="Times New Roman"/>
                <w:sz w:val="28"/>
                <w:szCs w:val="28"/>
              </w:rPr>
              <w:t>Чисельність населення</w:t>
            </w:r>
          </w:p>
        </w:tc>
        <w:tc>
          <w:tcPr>
            <w:tcW w:w="2415" w:type="dxa"/>
            <w:shd w:val="clear" w:color="auto" w:fill="auto"/>
            <w:vAlign w:val="center"/>
          </w:tcPr>
          <w:p w:rsidR="00987A59" w:rsidRPr="00987A59" w:rsidRDefault="00987A59" w:rsidP="00A22DC7">
            <w:pPr>
              <w:ind w:hanging="13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987A59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люд.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987A59" w:rsidRPr="00987A59" w:rsidRDefault="00987A59" w:rsidP="00987A59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987A59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 xml:space="preserve">1 </w:t>
            </w:r>
            <w:r w:rsidRPr="00987A59"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280</w:t>
            </w:r>
          </w:p>
        </w:tc>
      </w:tr>
    </w:tbl>
    <w:p w:rsidR="00987A59" w:rsidRPr="00987A59" w:rsidRDefault="00987A59" w:rsidP="00DA58F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EA2ADB" w:rsidRPr="00987A59" w:rsidRDefault="00EA2ADB" w:rsidP="00DA58F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 w:type="page"/>
      </w:r>
    </w:p>
    <w:p w:rsidR="0031030A" w:rsidRPr="00987A59" w:rsidRDefault="0000733B" w:rsidP="00DA58F8">
      <w:pPr>
        <w:pStyle w:val="1"/>
        <w:spacing w:before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uk-UA"/>
        </w:rPr>
      </w:pPr>
      <w:bookmarkStart w:id="12" w:name="_Toc510468029"/>
      <w:bookmarkStart w:id="13" w:name="_GoBack"/>
      <w:r w:rsidRPr="00987A59">
        <w:rPr>
          <w:rFonts w:ascii="Times New Roman" w:hAnsi="Times New Roman" w:cs="Times New Roman"/>
          <w:color w:val="000000" w:themeColor="text1"/>
          <w:lang w:eastAsia="uk-UA"/>
        </w:rPr>
        <w:lastRenderedPageBreak/>
        <w:t>Список літератури</w:t>
      </w:r>
      <w:bookmarkEnd w:id="12"/>
    </w:p>
    <w:bookmarkEnd w:id="13"/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1. Закон України "Про планування І забудову територій".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2. ДБН 360-92** "Містобудування. Планування і забудова міських і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сільських поселень".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3. Державні санітарні правила планування та забудови населених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пунктів, затверджені наказом МОЗ України від 19.06.96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рю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№379/1404. –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К.: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Укрархбудінформ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 2002.</w:t>
      </w:r>
    </w:p>
    <w:p w:rsidR="0031030A" w:rsidRPr="00987A59" w:rsidRDefault="00E3418F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4</w:t>
      </w:r>
      <w:r w:rsidR="003103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. ДБН В.2.3-5-2001 'Вулиці та дороги населених пунктів".</w:t>
      </w:r>
    </w:p>
    <w:p w:rsidR="0031030A" w:rsidRPr="00987A59" w:rsidRDefault="00E3418F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5</w:t>
      </w:r>
      <w:r w:rsidR="003103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. Містобудування: довідник проектувальника / за ред. Т.Ф. Панченко. –</w:t>
      </w:r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К.: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Укрархбудінформ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 2001.</w:t>
      </w:r>
    </w:p>
    <w:p w:rsidR="0031030A" w:rsidRPr="00987A59" w:rsidRDefault="00E3418F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6</w:t>
      </w:r>
      <w:r w:rsidR="003103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. </w:t>
      </w:r>
      <w:proofErr w:type="spellStart"/>
      <w:r w:rsidR="003103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Горохов</w:t>
      </w:r>
      <w:proofErr w:type="spellEnd"/>
      <w:r w:rsidR="003103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В.А., </w:t>
      </w:r>
      <w:proofErr w:type="spellStart"/>
      <w:r w:rsidR="003103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Лунц</w:t>
      </w:r>
      <w:proofErr w:type="spellEnd"/>
      <w:r w:rsidR="003103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Л.Б., </w:t>
      </w:r>
      <w:proofErr w:type="spellStart"/>
      <w:r w:rsidR="003103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Расторгуев</w:t>
      </w:r>
      <w:proofErr w:type="spellEnd"/>
      <w:r w:rsidR="003103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О.С. </w:t>
      </w:r>
      <w:proofErr w:type="spellStart"/>
      <w:r w:rsidR="0031030A"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Инженерное</w:t>
      </w:r>
      <w:proofErr w:type="spellEnd"/>
    </w:p>
    <w:p w:rsidR="0031030A" w:rsidRPr="00987A59" w:rsidRDefault="0031030A" w:rsidP="00DA58F8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благоустройство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городских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территорий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. – М.: </w:t>
      </w:r>
      <w:proofErr w:type="spellStart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Стройиздат</w:t>
      </w:r>
      <w:proofErr w:type="spellEnd"/>
      <w:r w:rsidRPr="00987A59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, 1985.</w:t>
      </w:r>
    </w:p>
    <w:sectPr w:rsidR="0031030A" w:rsidRPr="00987A59" w:rsidSect="005864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1030A"/>
    <w:rsid w:val="0000733B"/>
    <w:rsid w:val="00161B6A"/>
    <w:rsid w:val="001D6C8A"/>
    <w:rsid w:val="0031030A"/>
    <w:rsid w:val="0049507F"/>
    <w:rsid w:val="004F0E17"/>
    <w:rsid w:val="005864BA"/>
    <w:rsid w:val="005A0345"/>
    <w:rsid w:val="005C36C2"/>
    <w:rsid w:val="005C5A4F"/>
    <w:rsid w:val="007011F0"/>
    <w:rsid w:val="00720837"/>
    <w:rsid w:val="00822246"/>
    <w:rsid w:val="00851ED3"/>
    <w:rsid w:val="008958E4"/>
    <w:rsid w:val="008B1D07"/>
    <w:rsid w:val="008F4EA3"/>
    <w:rsid w:val="00987A59"/>
    <w:rsid w:val="00A54D7F"/>
    <w:rsid w:val="00BA5709"/>
    <w:rsid w:val="00C27C5B"/>
    <w:rsid w:val="00CF776F"/>
    <w:rsid w:val="00D7110A"/>
    <w:rsid w:val="00DA58F8"/>
    <w:rsid w:val="00E332DC"/>
    <w:rsid w:val="00E3418F"/>
    <w:rsid w:val="00E416B9"/>
    <w:rsid w:val="00E979EB"/>
    <w:rsid w:val="00EA2ADB"/>
    <w:rsid w:val="00EE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54E8FED"/>
  <w15:docId w15:val="{22D37F35-3955-47B1-AB5D-0B20805D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4BA"/>
  </w:style>
  <w:style w:type="paragraph" w:styleId="1">
    <w:name w:val="heading 1"/>
    <w:basedOn w:val="a"/>
    <w:next w:val="a"/>
    <w:link w:val="10"/>
    <w:uiPriority w:val="9"/>
    <w:qFormat/>
    <w:rsid w:val="00EA2A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10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030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No Spacing"/>
    <w:uiPriority w:val="1"/>
    <w:qFormat/>
    <w:rsid w:val="0031030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A2A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EA2ADB"/>
    <w:pPr>
      <w:outlineLvl w:val="9"/>
    </w:pPr>
    <w:rPr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EA2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2ADB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EA2ADB"/>
    <w:pPr>
      <w:spacing w:after="100"/>
    </w:pPr>
  </w:style>
  <w:style w:type="character" w:styleId="a7">
    <w:name w:val="Hyperlink"/>
    <w:basedOn w:val="a0"/>
    <w:uiPriority w:val="99"/>
    <w:unhideWhenUsed/>
    <w:rsid w:val="00EA2ADB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5A0345"/>
    <w:rPr>
      <w:color w:val="808080"/>
    </w:rPr>
  </w:style>
  <w:style w:type="table" w:styleId="a9">
    <w:name w:val="Table Grid"/>
    <w:basedOn w:val="a1"/>
    <w:uiPriority w:val="59"/>
    <w:rsid w:val="008222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0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BA12D-8510-49A9-ABA7-3FB25209E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38</Pages>
  <Words>7437</Words>
  <Characters>42392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49730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Illia Zhutchenko</cp:lastModifiedBy>
  <cp:revision>9</cp:revision>
  <dcterms:created xsi:type="dcterms:W3CDTF">2018-04-02T17:49:00Z</dcterms:created>
  <dcterms:modified xsi:type="dcterms:W3CDTF">2018-04-15T16:59:00Z</dcterms:modified>
</cp:coreProperties>
</file>