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Міністерство освіти і науки України</w:t>
      </w: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Київський національний університет будівництва і архітектури</w:t>
      </w: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Кафедра міського будівництва</w:t>
      </w: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Курсова робота</w:t>
      </w: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З дисципліни Інженерний благоустрій міських територій</w:t>
      </w: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Виконала:</w:t>
      </w:r>
    </w:p>
    <w:p w:rsidR="00994C78" w:rsidRPr="005A3E52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proofErr w:type="spellStart"/>
      <w:r w:rsidRPr="005A3E52">
        <w:rPr>
          <w:rFonts w:ascii="ISOCPEUR" w:hAnsi="ISOCPEUR"/>
          <w:i/>
          <w:sz w:val="28"/>
          <w:szCs w:val="28"/>
          <w:lang w:val="uk-UA"/>
        </w:rPr>
        <w:t>Ст.гр</w:t>
      </w:r>
      <w:proofErr w:type="spellEnd"/>
      <w:r w:rsidRPr="005A3E52">
        <w:rPr>
          <w:rFonts w:ascii="ISOCPEUR" w:hAnsi="ISOCPEUR"/>
          <w:i/>
          <w:sz w:val="28"/>
          <w:szCs w:val="28"/>
          <w:lang w:val="uk-UA"/>
        </w:rPr>
        <w:t>. МБГ-51</w:t>
      </w:r>
    </w:p>
    <w:p w:rsidR="00994C78" w:rsidRPr="005A3E52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Стеценко В.О.</w:t>
      </w:r>
    </w:p>
    <w:p w:rsidR="00994C78" w:rsidRPr="005A3E52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Перевірила:</w:t>
      </w:r>
    </w:p>
    <w:p w:rsidR="00994C78" w:rsidRPr="005A3E52" w:rsidRDefault="00994C78" w:rsidP="00994C78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 xml:space="preserve">Доц. </w:t>
      </w:r>
      <w:proofErr w:type="spellStart"/>
      <w:r w:rsidRPr="005A3E52">
        <w:rPr>
          <w:rFonts w:ascii="ISOCPEUR" w:hAnsi="ISOCPEUR"/>
          <w:i/>
          <w:sz w:val="28"/>
          <w:szCs w:val="28"/>
          <w:lang w:val="uk-UA"/>
        </w:rPr>
        <w:t>Биваліна</w:t>
      </w:r>
      <w:proofErr w:type="spellEnd"/>
      <w:r w:rsidRPr="005A3E52">
        <w:rPr>
          <w:rFonts w:ascii="ISOCPEUR" w:hAnsi="ISOCPEUR"/>
          <w:i/>
          <w:sz w:val="28"/>
          <w:szCs w:val="28"/>
          <w:lang w:val="uk-UA"/>
        </w:rPr>
        <w:t xml:space="preserve"> М.В.</w:t>
      </w: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 w:rsidP="00994C78">
      <w:pPr>
        <w:jc w:val="center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sz w:val="28"/>
          <w:szCs w:val="28"/>
          <w:lang w:val="uk-UA"/>
        </w:rPr>
        <w:t>Київ-2019</w:t>
      </w:r>
    </w:p>
    <w:p w:rsidR="00486111" w:rsidRPr="005A3E52" w:rsidRDefault="00486111" w:rsidP="00486111">
      <w:pPr>
        <w:jc w:val="center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lastRenderedPageBreak/>
        <w:t>ЗМІСТ</w:t>
      </w: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Розділ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1</w:t>
      </w:r>
      <w:r w:rsidRPr="005A3E52">
        <w:rPr>
          <w:rFonts w:ascii="ISOCPEUR" w:hAnsi="ISOCPEUR" w:cs="Times New Roman"/>
          <w:i/>
          <w:sz w:val="28"/>
          <w:szCs w:val="28"/>
        </w:rPr>
        <w:t xml:space="preserve">. </w:t>
      </w:r>
      <w:proofErr w:type="spellStart"/>
      <w:proofErr w:type="gramStart"/>
      <w:r w:rsidRPr="005A3E52">
        <w:rPr>
          <w:rFonts w:ascii="ISOCPEUR" w:hAnsi="ISOCPEUR" w:cs="Times New Roman"/>
          <w:i/>
          <w:sz w:val="28"/>
          <w:szCs w:val="28"/>
        </w:rPr>
        <w:t>Аналіз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 та</w:t>
      </w:r>
      <w:proofErr w:type="gram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оцінка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стану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навколишнього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середовища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. </w:t>
      </w:r>
    </w:p>
    <w:p w:rsidR="00486111" w:rsidRPr="005A3E52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Шумовий режим території. Заходи  щодо покращення  шумового режиму території.</w:t>
      </w:r>
    </w:p>
    <w:p w:rsidR="00486111" w:rsidRPr="005A3E52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 xml:space="preserve">Інсоляційний режим території. Заходи щодо покращення інсоляції території. </w:t>
      </w:r>
    </w:p>
    <w:p w:rsidR="00486111" w:rsidRPr="005A3E52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 xml:space="preserve">Забрудненість повітря вихлопними газами. Заходи щодо покращення чистоти повітря. </w:t>
      </w:r>
    </w:p>
    <w:p w:rsidR="00486111" w:rsidRPr="005A3E52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Аераційний режим території. Заходи щодо покращення аераційного режиму території.</w:t>
      </w:r>
    </w:p>
    <w:p w:rsidR="00486111" w:rsidRPr="005A3E52" w:rsidRDefault="00486111" w:rsidP="00486111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Комплексна оцінка умов комфортності житлової групи.</w:t>
      </w: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Розділ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2</w:t>
      </w:r>
      <w:r w:rsidRPr="005A3E52">
        <w:rPr>
          <w:rFonts w:ascii="ISOCPEUR" w:hAnsi="ISOCPEUR" w:cs="Times New Roman"/>
          <w:i/>
          <w:sz w:val="28"/>
          <w:szCs w:val="28"/>
        </w:rPr>
        <w:t xml:space="preserve">.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Благоустрій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території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житлової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групи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>.</w:t>
      </w:r>
    </w:p>
    <w:p w:rsidR="00486111" w:rsidRPr="005A3E52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Проїзди, пішохідні доріжки.</w:t>
      </w:r>
    </w:p>
    <w:p w:rsidR="00486111" w:rsidRPr="005A3E52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Майданчики різноманітного призначення.</w:t>
      </w:r>
    </w:p>
    <w:p w:rsidR="00486111" w:rsidRPr="005A3E52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Озеленення території житлової групи.</w:t>
      </w:r>
    </w:p>
    <w:p w:rsidR="00486111" w:rsidRPr="005A3E52" w:rsidRDefault="00486111" w:rsidP="00486111">
      <w:pPr>
        <w:pStyle w:val="a5"/>
        <w:numPr>
          <w:ilvl w:val="1"/>
          <w:numId w:val="3"/>
        </w:num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Баланс та техніко-економічні показники території.</w:t>
      </w: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486111" w:rsidRPr="005A3E52" w:rsidRDefault="00486111" w:rsidP="00486111">
      <w:pPr>
        <w:spacing w:after="0" w:line="360" w:lineRule="auto"/>
        <w:jc w:val="both"/>
        <w:rPr>
          <w:rFonts w:ascii="ISOCPEUR" w:hAnsi="ISOCPEUR" w:cs="Times New Roman"/>
          <w:i/>
          <w:sz w:val="28"/>
          <w:szCs w:val="28"/>
        </w:rPr>
      </w:pPr>
    </w:p>
    <w:p w:rsidR="005000A3" w:rsidRPr="005A3E52" w:rsidRDefault="005000A3" w:rsidP="00B354EE">
      <w:pPr>
        <w:pStyle w:val="Style10"/>
        <w:widowControl/>
        <w:numPr>
          <w:ilvl w:val="0"/>
          <w:numId w:val="5"/>
        </w:numPr>
        <w:tabs>
          <w:tab w:val="left" w:pos="1138"/>
        </w:tabs>
        <w:spacing w:line="288" w:lineRule="auto"/>
        <w:jc w:val="center"/>
        <w:rPr>
          <w:rStyle w:val="FontStyle62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62"/>
          <w:rFonts w:ascii="ISOCPEUR" w:hAnsi="ISOCPEUR"/>
          <w:i/>
          <w:sz w:val="28"/>
          <w:szCs w:val="28"/>
          <w:lang w:val="uk-UA" w:eastAsia="uk-UA"/>
        </w:rPr>
        <w:t xml:space="preserve">АНАЛІЗ СТАНУ НАВКОЛИШНЬОГО СЕРЕДОВИЩА </w:t>
      </w:r>
      <w:r w:rsidRPr="005A3E52">
        <w:rPr>
          <w:rStyle w:val="FontStyle62"/>
          <w:rFonts w:ascii="ISOCPEUR" w:hAnsi="ISOCPEUR"/>
          <w:i/>
          <w:sz w:val="28"/>
          <w:szCs w:val="28"/>
          <w:lang w:val="uk-UA" w:eastAsia="uk-UA"/>
        </w:rPr>
        <w:br/>
        <w:t>ТА МІСТОБУДІВНІ ЗАХОДИ ЩОДО ПОКРАЩЕННЯ  КОМФОРТНОСТІ ТЕРИТОРІЇ</w:t>
      </w:r>
    </w:p>
    <w:p w:rsidR="00B354EE" w:rsidRPr="005A3E52" w:rsidRDefault="00B354EE" w:rsidP="00B354EE">
      <w:pPr>
        <w:pStyle w:val="Style10"/>
        <w:widowControl/>
        <w:tabs>
          <w:tab w:val="left" w:pos="1138"/>
        </w:tabs>
        <w:spacing w:line="288" w:lineRule="auto"/>
        <w:ind w:left="360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</w:p>
    <w:p w:rsidR="005000A3" w:rsidRPr="005A3E52" w:rsidRDefault="00B354EE" w:rsidP="00B354EE">
      <w:pPr>
        <w:pStyle w:val="Style10"/>
        <w:widowControl/>
        <w:tabs>
          <w:tab w:val="left" w:pos="1128"/>
        </w:tabs>
        <w:spacing w:line="288" w:lineRule="auto"/>
        <w:jc w:val="center"/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</w:pPr>
      <w:r w:rsidRPr="005A3E52">
        <w:rPr>
          <w:rStyle w:val="FontStyle62"/>
          <w:rFonts w:ascii="ISOCPEUR" w:hAnsi="ISOCPEUR"/>
          <w:bCs w:val="0"/>
          <w:i/>
          <w:smallCaps w:val="0"/>
          <w:sz w:val="28"/>
          <w:szCs w:val="28"/>
          <w:lang w:val="uk-UA" w:eastAsia="uk-UA"/>
        </w:rPr>
        <w:t>1.1. Шумовий режим території. Протишумові заходи</w:t>
      </w:r>
    </w:p>
    <w:p w:rsidR="005000A3" w:rsidRPr="005A3E52" w:rsidRDefault="005000A3" w:rsidP="005000A3">
      <w:pPr>
        <w:pStyle w:val="Style16"/>
        <w:widowControl/>
        <w:spacing w:line="288" w:lineRule="auto"/>
        <w:ind w:right="-3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37"/>
          <w:rFonts w:ascii="ISOCPEUR" w:hAnsi="ISOCPEUR"/>
          <w:i/>
          <w:sz w:val="28"/>
          <w:szCs w:val="28"/>
          <w:lang w:val="uk-UA"/>
        </w:rPr>
        <w:t>Д</w: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о основних джерел зовнішнього шуму у містах належать:</w:t>
      </w:r>
    </w:p>
    <w:p w:rsidR="005000A3" w:rsidRPr="005A3E52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8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потоки усіх видів наземного автомобільного та рейкового транспорту;</w:t>
      </w:r>
    </w:p>
    <w:p w:rsidR="005000A3" w:rsidRPr="005A3E52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авіаційний транспорт в аеропортах та зонах повітряних трас аеродромів;</w:t>
      </w:r>
    </w:p>
    <w:p w:rsidR="005000A3" w:rsidRPr="005A3E52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промислові підприємства та окреме устаткування;</w:t>
      </w:r>
    </w:p>
    <w:p w:rsidR="005000A3" w:rsidRPr="005A3E52" w:rsidRDefault="005000A3" w:rsidP="005000A3">
      <w:pPr>
        <w:pStyle w:val="Style13"/>
        <w:widowControl/>
        <w:numPr>
          <w:ilvl w:val="1"/>
          <w:numId w:val="1"/>
        </w:numPr>
        <w:tabs>
          <w:tab w:val="left" w:pos="1134"/>
        </w:tabs>
        <w:spacing w:line="281" w:lineRule="auto"/>
        <w:ind w:left="0" w:firstLine="709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  <w:t>майданчики вантажно-розвантажувальних робіт об'єктів транспорту,</w: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торговельних, комунально-побутових та інших підприємств і установ;</w:t>
      </w:r>
    </w:p>
    <w:p w:rsidR="005000A3" w:rsidRPr="005A3E52" w:rsidRDefault="005000A3" w:rsidP="005000A3">
      <w:pPr>
        <w:pStyle w:val="Style18"/>
        <w:widowControl/>
        <w:numPr>
          <w:ilvl w:val="1"/>
          <w:numId w:val="1"/>
        </w:numPr>
        <w:tabs>
          <w:tab w:val="left" w:pos="480"/>
          <w:tab w:val="left" w:pos="1134"/>
        </w:tabs>
        <w:spacing w:line="281" w:lineRule="auto"/>
        <w:ind w:left="0" w:firstLine="709"/>
        <w:jc w:val="both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відкриті спортивні споруди та ігрові майданчики;</w:t>
      </w:r>
    </w:p>
    <w:p w:rsidR="005000A3" w:rsidRPr="005A3E52" w:rsidRDefault="005000A3" w:rsidP="005000A3">
      <w:pPr>
        <w:pStyle w:val="Style13"/>
        <w:widowControl/>
        <w:numPr>
          <w:ilvl w:val="1"/>
          <w:numId w:val="1"/>
        </w:numPr>
        <w:tabs>
          <w:tab w:val="left" w:pos="1134"/>
        </w:tabs>
        <w:spacing w:line="281" w:lineRule="auto"/>
        <w:ind w:left="0" w:firstLine="709"/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машини, механізми та технологічне устаткування, що виконують </w:t>
      </w:r>
      <w:r w:rsidRPr="005A3E52">
        <w:rPr>
          <w:rStyle w:val="FontStyle141"/>
          <w:rFonts w:ascii="ISOCPEUR" w:hAnsi="ISOCPEUR"/>
          <w:i/>
          <w:spacing w:val="-6"/>
          <w:sz w:val="28"/>
          <w:szCs w:val="28"/>
          <w:lang w:val="uk-UA" w:eastAsia="uk-UA"/>
        </w:rPr>
        <w:t>роботи з будівництва, ремонту, прибирання та благоустрою міських територій.</w:t>
      </w:r>
    </w:p>
    <w:p w:rsidR="005000A3" w:rsidRPr="005A3E52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Транспортні потоки на магістральних вулицях та дорогах і залізничні потяги у русі розглядаються як лінійні джерела зовнішнього шуму у містах, а всі інші – як локальні.</w:t>
      </w:r>
    </w:p>
    <w:p w:rsidR="005000A3" w:rsidRPr="005A3E52" w:rsidRDefault="005000A3" w:rsidP="005000A3">
      <w:pPr>
        <w:pStyle w:val="Style13"/>
        <w:widowControl/>
        <w:spacing w:line="281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Еквівалентним (за енергією) рівнем звуку називається значення рівня звуку тривалого постійного шуму, який у межах певного регламентованого інтервалу часу має те саме середньоквадратичне значення рівня звуку, що і непостійний шум, рівень звуку якого змінюється у часі.</w:t>
      </w:r>
    </w:p>
    <w:p w:rsidR="00E7511B" w:rsidRPr="005A3E52" w:rsidRDefault="00994C78" w:rsidP="005000A3">
      <w:pPr>
        <w:pStyle w:val="Style20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Р</w:t>
      </w:r>
      <w:r w:rsidR="005000A3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озрахунковий еквівалентний рівень звуку </w:t>
      </w:r>
      <w:r w:rsidR="005000A3" w:rsidRPr="005A3E52">
        <w:rPr>
          <w:rFonts w:ascii="ISOCPEUR" w:hAnsi="ISOCPEUR"/>
          <w:i/>
          <w:position w:val="-10"/>
          <w:sz w:val="28"/>
          <w:szCs w:val="28"/>
          <w:lang w:val="uk-UA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pt" o:ole="">
            <v:imagedata r:id="rId5" o:title=""/>
          </v:shape>
          <o:OLEObject Type="Embed" ProgID="Equation.3" ShapeID="_x0000_i1025" DrawAspect="Content" ObjectID="_1620769401" r:id="rId6"/>
        </w:object>
      </w:r>
      <w:r w:rsidR="005000A3" w:rsidRPr="005A3E52">
        <w:rPr>
          <w:rFonts w:ascii="ISOCPEUR" w:hAnsi="ISOCPEUR"/>
          <w:i/>
          <w:sz w:val="28"/>
          <w:szCs w:val="28"/>
          <w:lang w:val="uk-UA"/>
        </w:rPr>
        <w:t xml:space="preserve"> </w:t>
      </w:r>
      <w:r w:rsidR="005000A3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т</w: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ранспортного потоку визначаємо</w:t>
      </w:r>
      <w:r w:rsidR="005000A3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за формулою:</w:t>
      </w:r>
    </w:p>
    <w:p w:rsidR="005000A3" w:rsidRPr="005A3E52" w:rsidRDefault="005000A3" w:rsidP="005000A3">
      <w:pPr>
        <w:pStyle w:val="Style20"/>
        <w:widowControl/>
        <w:spacing w:line="288" w:lineRule="auto"/>
        <w:ind w:firstLine="708"/>
        <w:rPr>
          <w:rFonts w:ascii="ISOCPEUR" w:hAnsi="ISOCPEUR" w:cs="Arial"/>
          <w:i/>
          <w:sz w:val="28"/>
          <w:szCs w:val="28"/>
          <w:lang w:val="uk-UA" w:eastAsia="uk-UA"/>
        </w:rPr>
      </w:pPr>
    </w:p>
    <w:p w:rsidR="00E7511B" w:rsidRPr="005A3E52" w:rsidRDefault="006A4F88" w:rsidP="000B0944">
      <w:pPr>
        <w:jc w:val="right"/>
        <w:rPr>
          <w:rFonts w:ascii="ISOCPEUR" w:hAnsi="ISOCPEUR"/>
          <w:i/>
          <w:sz w:val="28"/>
          <w:szCs w:val="28"/>
          <w:lang w:val="uk-UA"/>
        </w:rPr>
      </w:pPr>
      <w:r w:rsidRPr="005A3E52">
        <w:rPr>
          <w:rFonts w:ascii="ISOCPEUR" w:hAnsi="ISOCPEUR"/>
          <w:i/>
          <w:position w:val="-14"/>
          <w:sz w:val="28"/>
          <w:szCs w:val="28"/>
          <w:lang w:val="uk-UA"/>
        </w:rPr>
        <w:object w:dxaOrig="3320" w:dyaOrig="380">
          <v:shape id="_x0000_i1026" type="#_x0000_t75" style="width:192pt;height:21.75pt" o:ole="">
            <v:imagedata r:id="rId7" o:title=""/>
          </v:shape>
          <o:OLEObject Type="Embed" ProgID="Equation.3" ShapeID="_x0000_i1026" DrawAspect="Content" ObjectID="_1620769402" r:id="rId8"/>
        </w:object>
      </w:r>
      <w:r w:rsidR="00E7511B" w:rsidRPr="005A3E52">
        <w:rPr>
          <w:rFonts w:ascii="ISOCPEUR" w:hAnsi="ISOCPEUR"/>
          <w:i/>
          <w:sz w:val="28"/>
          <w:szCs w:val="28"/>
          <w:lang w:val="uk-UA"/>
        </w:rPr>
        <w:t>,</w:t>
      </w:r>
      <w:r w:rsidR="00863202" w:rsidRPr="005A3E52">
        <w:rPr>
          <w:rFonts w:ascii="ISOCPEUR" w:hAnsi="ISOCPEUR"/>
          <w:i/>
          <w:sz w:val="28"/>
          <w:szCs w:val="28"/>
          <w:lang w:val="uk-UA"/>
        </w:rPr>
        <w:t xml:space="preserve">    </w:t>
      </w:r>
      <w:r w:rsidR="000B0944" w:rsidRPr="005A3E52">
        <w:rPr>
          <w:rFonts w:ascii="ISOCPEUR" w:hAnsi="ISOCPEUR"/>
          <w:i/>
          <w:sz w:val="28"/>
          <w:szCs w:val="28"/>
          <w:lang w:val="uk-UA"/>
        </w:rPr>
        <w:t xml:space="preserve">                (1)</w:t>
      </w:r>
    </w:p>
    <w:p w:rsidR="00994C78" w:rsidRPr="005A3E52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де </w:t>
      </w:r>
      <w:r w:rsidRPr="005A3E52">
        <w:rPr>
          <w:rFonts w:ascii="ISOCPEUR" w:hAnsi="ISOCPEUR"/>
          <w:i/>
          <w:position w:val="-12"/>
          <w:sz w:val="28"/>
          <w:szCs w:val="28"/>
          <w:lang w:val="uk-UA"/>
        </w:rPr>
        <w:object w:dxaOrig="340" w:dyaOrig="360">
          <v:shape id="_x0000_i1027" type="#_x0000_t75" style="width:19.5pt;height:20.25pt" o:ole="">
            <v:imagedata r:id="rId9" o:title=""/>
          </v:shape>
          <o:OLEObject Type="Embed" ProgID="Equation.3" ShapeID="_x0000_i1027" DrawAspect="Content" ObjectID="_1620769403" r:id="rId10"/>
        </w:object>
      </w:r>
      <w:r w:rsidRPr="005A3E52">
        <w:rPr>
          <w:rFonts w:ascii="ISOCPEUR" w:hAnsi="ISOCPEUR"/>
          <w:i/>
          <w:sz w:val="28"/>
          <w:szCs w:val="28"/>
          <w:lang w:val="uk-UA"/>
        </w:rPr>
        <w:t xml:space="preserve"> –</w: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еквівалентний рівень </w:t>
      </w:r>
      <w:r w:rsidR="005000A3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звуку транспортного потоку, дБА</w:t>
      </w:r>
      <w:r w:rsidR="00994C78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;</w:t>
      </w:r>
    </w:p>
    <w:p w:rsidR="00994C78" w:rsidRPr="005A3E52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Fonts w:ascii="ISOCPEUR" w:hAnsi="ISOCPEUR"/>
          <w:i/>
          <w:position w:val="-12"/>
          <w:sz w:val="28"/>
          <w:szCs w:val="28"/>
          <w:lang w:val="uk-UA"/>
        </w:rPr>
        <w:object w:dxaOrig="320" w:dyaOrig="360">
          <v:shape id="_x0000_i1051" type="#_x0000_t75" style="width:18.75pt;height:20.25pt" o:ole="">
            <v:imagedata r:id="rId11" o:title=""/>
          </v:shape>
          <o:OLEObject Type="Embed" ProgID="Equation.3" ShapeID="_x0000_i1051" DrawAspect="Content" ObjectID="_1620769404" r:id="rId12"/>
        </w:object>
      </w:r>
      <w:r w:rsidRPr="005A3E52">
        <w:rPr>
          <w:rFonts w:ascii="ISOCPEUR" w:hAnsi="ISOCPEUR"/>
          <w:i/>
          <w:sz w:val="28"/>
          <w:szCs w:val="28"/>
          <w:lang w:val="uk-UA"/>
        </w:rPr>
        <w:t xml:space="preserve"> –</w: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шумова поправка на середню швидкість руху транспортного потоку, дБА; </w:t>
      </w:r>
    </w:p>
    <w:p w:rsidR="00994C78" w:rsidRPr="005A3E52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Fonts w:ascii="ISOCPEUR" w:hAnsi="ISOCPEUR"/>
          <w:i/>
          <w:position w:val="-12"/>
          <w:sz w:val="28"/>
          <w:szCs w:val="28"/>
          <w:lang w:val="uk-UA"/>
        </w:rPr>
        <w:object w:dxaOrig="340" w:dyaOrig="360">
          <v:shape id="_x0000_i1053" type="#_x0000_t75" style="width:19.5pt;height:20.25pt" o:ole="">
            <v:imagedata r:id="rId13" o:title=""/>
          </v:shape>
          <o:OLEObject Type="Embed" ProgID="Equation.3" ShapeID="_x0000_i1053" DrawAspect="Content" ObjectID="_1620769405" r:id="rId14"/>
        </w:objec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</w:t>
      </w:r>
      <w:r w:rsidRPr="005A3E52">
        <w:rPr>
          <w:rFonts w:ascii="ISOCPEUR" w:hAnsi="ISOCPEUR"/>
          <w:i/>
          <w:sz w:val="28"/>
          <w:szCs w:val="28"/>
          <w:lang w:val="uk-UA"/>
        </w:rPr>
        <w:t xml:space="preserve">– </w: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шумова поправка на поздовжн</w:t>
      </w:r>
      <w:r w:rsidR="00994C78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ій уклон проїзної частини, дБА;</w:t>
      </w:r>
    </w:p>
    <w:p w:rsidR="00994C78" w:rsidRPr="005A3E52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Fonts w:ascii="ISOCPEUR" w:hAnsi="ISOCPEUR"/>
          <w:i/>
          <w:position w:val="-10"/>
          <w:sz w:val="28"/>
          <w:szCs w:val="28"/>
          <w:lang w:val="uk-UA"/>
        </w:rPr>
        <w:object w:dxaOrig="300" w:dyaOrig="340">
          <v:shape id="_x0000_i1030" type="#_x0000_t75" style="width:17.25pt;height:18.75pt" o:ole="">
            <v:imagedata r:id="rId15" o:title=""/>
          </v:shape>
          <o:OLEObject Type="Embed" ProgID="Equation.3" ShapeID="_x0000_i1030" DrawAspect="Content" ObjectID="_1620769406" r:id="rId16"/>
        </w:objec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шумова поправка на кількість с</w:t>
      </w:r>
      <w:r w:rsidR="00994C78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муг руху проїзної частини, дБА;</w:t>
      </w:r>
    </w:p>
    <w:p w:rsidR="00994C78" w:rsidRPr="005A3E52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  <w:r w:rsidRPr="005A3E52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031" type="#_x0000_t75" style="width:21pt;height:21.75pt" o:ole="">
            <v:imagedata r:id="rId17" o:title=""/>
          </v:shape>
          <o:OLEObject Type="Embed" ProgID="Equation.3" ShapeID="_x0000_i1031" DrawAspect="Content" ObjectID="_1620769407" r:id="rId18"/>
        </w:objec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шумова поправка на вид дорожнього покриття, дБА (для </w:t>
      </w:r>
      <w:proofErr w:type="spellStart"/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асфальто</w:t>
      </w:r>
      <w:proofErr w:type="spellEnd"/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-бетонного покриття </w:t>
      </w:r>
      <w:r w:rsidRPr="005A3E52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032" type="#_x0000_t75" style="width:21pt;height:21.75pt" o:ole="">
            <v:imagedata r:id="rId17" o:title=""/>
          </v:shape>
          <o:OLEObject Type="Embed" ProgID="Equation.3" ShapeID="_x0000_i1032" DrawAspect="Content" ObjectID="_1620769408" r:id="rId19"/>
        </w:objec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= 0, для цементно-бетонного – </w:t>
      </w:r>
      <w:r w:rsidRPr="005A3E52">
        <w:rPr>
          <w:rFonts w:ascii="ISOCPEUR" w:hAnsi="ISOCPEUR"/>
          <w:i/>
          <w:position w:val="-14"/>
          <w:sz w:val="28"/>
          <w:szCs w:val="28"/>
          <w:lang w:val="uk-UA"/>
        </w:rPr>
        <w:object w:dxaOrig="360" w:dyaOrig="380">
          <v:shape id="_x0000_i1033" type="#_x0000_t75" style="width:21pt;height:21.75pt" o:ole="">
            <v:imagedata r:id="rId17" o:title=""/>
          </v:shape>
          <o:OLEObject Type="Embed" ProgID="Equation.3" ShapeID="_x0000_i1033" DrawAspect="Content" ObjectID="_1620769409" r:id="rId20"/>
        </w:object>
      </w:r>
      <w:r w:rsidRPr="005A3E52">
        <w:rPr>
          <w:rStyle w:val="FontStyle136"/>
          <w:rFonts w:ascii="ISOCPEUR" w:hAnsi="ISOCPEUR"/>
          <w:i/>
          <w:sz w:val="28"/>
          <w:szCs w:val="28"/>
          <w:lang w:val="uk-UA" w:eastAsia="uk-UA"/>
        </w:rPr>
        <w:t xml:space="preserve">= </w:t>
      </w:r>
      <w:r w:rsidR="00994C78"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3);</w:t>
      </w:r>
    </w:p>
    <w:p w:rsidR="00E7511B" w:rsidRPr="005A3E52" w:rsidRDefault="00E7511B" w:rsidP="00E7511B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</w:pPr>
      <w:r w:rsidRPr="005A3E52">
        <w:rPr>
          <w:rFonts w:ascii="ISOCPEUR" w:hAnsi="ISOCPEUR"/>
          <w:i/>
          <w:position w:val="-14"/>
          <w:sz w:val="28"/>
          <w:szCs w:val="28"/>
          <w:lang w:val="uk-UA"/>
        </w:rPr>
        <w:object w:dxaOrig="300" w:dyaOrig="380">
          <v:shape id="_x0000_i1034" type="#_x0000_t75" style="width:17.25pt;height:21.75pt" o:ole="">
            <v:imagedata r:id="rId21" o:title=""/>
          </v:shape>
          <o:OLEObject Type="Embed" ProgID="Equation.3" ShapeID="_x0000_i1034" DrawAspect="Content" ObjectID="_1620769410" r:id="rId22"/>
        </w:object>
      </w: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 xml:space="preserve"> – </w:t>
      </w:r>
      <w:r w:rsidRPr="005A3E52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шумова по</w:t>
      </w:r>
      <w:r w:rsidR="005000A3" w:rsidRPr="005A3E52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правка на вплив перехрестя, дБА</w:t>
      </w:r>
      <w:r w:rsidRPr="005A3E52">
        <w:rPr>
          <w:rStyle w:val="FontStyle141"/>
          <w:rFonts w:ascii="ISOCPEUR" w:hAnsi="ISOCPEUR"/>
          <w:i/>
          <w:spacing w:val="-4"/>
          <w:sz w:val="28"/>
          <w:szCs w:val="28"/>
          <w:lang w:val="uk-UA" w:eastAsia="uk-UA"/>
        </w:rPr>
        <w:t>.</w:t>
      </w:r>
    </w:p>
    <w:p w:rsidR="00E7511B" w:rsidRPr="005A3E52" w:rsidRDefault="00E7511B" w:rsidP="00E7511B">
      <w:pPr>
        <w:pStyle w:val="Style13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Шумова поправка </w:t>
      </w:r>
      <w:r w:rsidRPr="005A3E52">
        <w:rPr>
          <w:rFonts w:ascii="ISOCPEUR" w:hAnsi="ISOCPEUR"/>
          <w:i/>
          <w:position w:val="-14"/>
          <w:sz w:val="28"/>
          <w:szCs w:val="28"/>
          <w:highlight w:val="lightGray"/>
          <w:lang w:val="uk-UA"/>
        </w:rPr>
        <w:object w:dxaOrig="300" w:dyaOrig="380">
          <v:shape id="_x0000_i1090" type="#_x0000_t75" style="width:17.25pt;height:21.75pt" o:ole="">
            <v:imagedata r:id="rId23" o:title=""/>
          </v:shape>
          <o:OLEObject Type="Embed" ProgID="Equation.3" ShapeID="_x0000_i1090" DrawAspect="Content" ObjectID="_1620769411" r:id="rId24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</w:t>
      </w: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враховується лише для визначення еквівалентного рівня звуку транспортних потоків у місцях перетину магістральних вулиць та доріг із регульованим рухом на відстані до </w:t>
      </w:r>
      <w:smartTag w:uri="urn:schemas-microsoft-com:office:smarttags" w:element="metricconverter">
        <w:smartTagPr>
          <w:attr w:name="ProductID" w:val="50 м"/>
        </w:smartTagPr>
        <w:r w:rsidRPr="005A3E52">
          <w:rPr>
            <w:rStyle w:val="FontStyle141"/>
            <w:rFonts w:ascii="ISOCPEUR" w:hAnsi="ISOCPEUR"/>
            <w:i/>
            <w:sz w:val="28"/>
            <w:szCs w:val="28"/>
            <w:highlight w:val="lightGray"/>
            <w:lang w:val="uk-UA" w:eastAsia="uk-UA"/>
          </w:rPr>
          <w:t>50 м</w:t>
        </w:r>
      </w:smartTag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від осі перехрестя.</w:t>
      </w:r>
    </w:p>
    <w:p w:rsidR="000B0944" w:rsidRPr="005A3E52" w:rsidRDefault="000B0944" w:rsidP="000B0944">
      <w:pPr>
        <w:pStyle w:val="Style13"/>
        <w:widowControl/>
        <w:spacing w:line="288" w:lineRule="auto"/>
        <w:ind w:firstLine="708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У місцях перетину магістральних вулиць та доріг із регульованим рухом на відстані </w:t>
      </w:r>
      <w:smartTag w:uri="urn:schemas-microsoft-com:office:smarttags" w:element="metricconverter">
        <w:smartTagPr>
          <w:attr w:name="ProductID" w:val="50 м"/>
        </w:smartTagPr>
        <w:r w:rsidRPr="005A3E52">
          <w:rPr>
            <w:rStyle w:val="FontStyle141"/>
            <w:rFonts w:ascii="ISOCPEUR" w:hAnsi="ISOCPEUR"/>
            <w:i/>
            <w:sz w:val="28"/>
            <w:szCs w:val="28"/>
            <w:highlight w:val="lightGray"/>
            <w:lang w:val="uk-UA" w:eastAsia="uk-UA"/>
          </w:rPr>
          <w:t>50 м</w:t>
        </w:r>
      </w:smartTag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від осі перехрестя шумова характеристика транспортних потоків визначається шляхом енергетичного складання окремих розрахункових рівнів звуку кожної магістралі, які утворюють перехрестя. Для цього спочатку визначають абсолютне значення різниці  </w:t>
      </w:r>
      <w:r w:rsidRPr="005A3E52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460" w:dyaOrig="340">
          <v:shape id="_x0000_i1091" type="#_x0000_t75" style="width:23.25pt;height:18pt" o:ole="">
            <v:imagedata r:id="rId25" o:title=""/>
          </v:shape>
          <o:OLEObject Type="Embed" ProgID="Equation.3" ShapeID="_x0000_i1091" DrawAspect="Content" ObjectID="_1620769412" r:id="rId26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між розрахунковими еквівалентними рівнями звуку транспортних потоків:</w:t>
      </w:r>
    </w:p>
    <w:p w:rsidR="000B0944" w:rsidRPr="005A3E52" w:rsidRDefault="000B0944" w:rsidP="000B0944">
      <w:pPr>
        <w:pStyle w:val="Style40"/>
        <w:widowControl/>
        <w:spacing w:line="288" w:lineRule="auto"/>
        <w:jc w:val="right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5A3E52">
        <w:rPr>
          <w:rFonts w:ascii="ISOCPEUR" w:hAnsi="ISOCPEUR"/>
          <w:i/>
          <w:position w:val="-16"/>
          <w:sz w:val="28"/>
          <w:szCs w:val="28"/>
          <w:highlight w:val="lightGray"/>
          <w:lang w:val="uk-UA"/>
        </w:rPr>
        <w:object w:dxaOrig="1540" w:dyaOrig="440">
          <v:shape id="_x0000_i1092" type="#_x0000_t75" style="width:79.5pt;height:23.25pt" o:ole="">
            <v:imagedata r:id="rId27" o:title=""/>
          </v:shape>
          <o:OLEObject Type="Embed" ProgID="Equation.3" ShapeID="_x0000_i1092" DrawAspect="Content" ObjectID="_1620769413" r:id="rId28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>,</w:t>
      </w:r>
      <w:r w:rsidR="00863202"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               </w: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               (2)</w:t>
      </w:r>
    </w:p>
    <w:p w:rsidR="000B0944" w:rsidRPr="005A3E52" w:rsidRDefault="000B0944" w:rsidP="000B0944">
      <w:pPr>
        <w:pStyle w:val="Style40"/>
        <w:widowControl/>
        <w:spacing w:line="288" w:lineRule="auto"/>
        <w:jc w:val="both"/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де </w:t>
      </w:r>
      <w:r w:rsidRPr="005A3E52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340" w:dyaOrig="360">
          <v:shape id="_x0000_i1093" type="#_x0000_t75" style="width:18pt;height:18.75pt" o:ole="">
            <v:imagedata r:id="rId29" o:title=""/>
          </v:shape>
          <o:OLEObject Type="Embed" ProgID="Equation.3" ShapeID="_x0000_i1093" DrawAspect="Content" ObjectID="_1620769414" r:id="rId30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 </w:t>
      </w: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і </w:t>
      </w:r>
      <w:r w:rsidRPr="005A3E52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340" w:dyaOrig="360">
          <v:shape id="_x0000_i1094" type="#_x0000_t75" style="width:18pt;height:18.75pt" o:ole="">
            <v:imagedata r:id="rId31" o:title=""/>
          </v:shape>
          <o:OLEObject Type="Embed" ProgID="Equation.3" ShapeID="_x0000_i1094" DrawAspect="Content" ObjectID="_1620769415" r:id="rId32"/>
        </w:object>
      </w: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– розрахунковий еквівалентний рівень звуку транспортного потоку відповідно І </w:t>
      </w:r>
      <w:proofErr w:type="spellStart"/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>і</w:t>
      </w:r>
      <w:proofErr w:type="spellEnd"/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 II магістралей, що утворюють перехрестя, величина якого визначається за формулою (1), дБА.</w:t>
      </w:r>
    </w:p>
    <w:p w:rsidR="00863202" w:rsidRPr="005A3E52" w:rsidRDefault="00863202" w:rsidP="00863202">
      <w:pPr>
        <w:pStyle w:val="Style13"/>
        <w:widowControl/>
        <w:spacing w:line="288" w:lineRule="auto"/>
        <w:ind w:firstLine="708"/>
        <w:rPr>
          <w:rStyle w:val="FontStyle140"/>
          <w:rFonts w:ascii="ISOCPEUR" w:hAnsi="ISOCPEUR"/>
          <w:i/>
          <w:sz w:val="28"/>
          <w:szCs w:val="28"/>
          <w:highlight w:val="lightGray"/>
          <w:lang w:val="uk-UA"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Далі, залежно від значення </w:t>
      </w:r>
      <w:r w:rsidRPr="005A3E52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460" w:dyaOrig="340">
          <v:shape id="_x0000_i1095" type="#_x0000_t75" style="width:23.25pt;height:18pt" o:ole="">
            <v:imagedata r:id="rId33" o:title=""/>
          </v:shape>
          <o:OLEObject Type="Embed" ProgID="Equation.3" ShapeID="_x0000_i1095" DrawAspect="Content" ObjectID="_1620769416" r:id="rId34"/>
        </w:object>
      </w: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, знаходять шумову поправку </w:t>
      </w:r>
      <w:r w:rsidRPr="005A3E52">
        <w:rPr>
          <w:rFonts w:ascii="ISOCPEUR" w:hAnsi="ISOCPEUR"/>
          <w:i/>
          <w:position w:val="-12"/>
          <w:sz w:val="28"/>
          <w:szCs w:val="28"/>
          <w:highlight w:val="lightGray"/>
          <w:lang w:val="uk-UA"/>
        </w:rPr>
        <w:object w:dxaOrig="340" w:dyaOrig="360">
          <v:shape id="_x0000_i1096" type="#_x0000_t75" style="width:18pt;height:18.75pt" o:ole="">
            <v:imagedata r:id="rId35" o:title=""/>
          </v:shape>
          <o:OLEObject Type="Embed" ProgID="Equation.3" ShapeID="_x0000_i1096" DrawAspect="Content" ObjectID="_1620769417" r:id="rId36"/>
        </w:object>
      </w:r>
      <w:r w:rsidRPr="005A3E52">
        <w:rPr>
          <w:rStyle w:val="FontStyle141"/>
          <w:rFonts w:ascii="ISOCPEUR" w:hAnsi="ISOCPEUR"/>
          <w:i/>
          <w:sz w:val="28"/>
          <w:szCs w:val="28"/>
          <w:highlight w:val="lightGray"/>
          <w:lang w:val="uk-UA" w:eastAsia="uk-UA"/>
        </w:rPr>
        <w:t xml:space="preserve">, яку потім додають до більшого значення розрахункового еквівалентного різня звуку транспортного потоку і визначають сумарний розрахунковий еквівалентний рівень звуку перехрестя </w:t>
      </w:r>
      <w:r w:rsidRPr="005A3E52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340" w:dyaOrig="340">
          <v:shape id="_x0000_i1097" type="#_x0000_t75" style="width:18pt;height:18pt" o:ole="">
            <v:imagedata r:id="rId37" o:title=""/>
          </v:shape>
          <o:OLEObject Type="Embed" ProgID="Equation.3" ShapeID="_x0000_i1097" DrawAspect="Content" ObjectID="_1620769418" r:id="rId38"/>
        </w:object>
      </w:r>
      <w:r w:rsidRPr="005A3E52">
        <w:rPr>
          <w:rStyle w:val="FontStyle140"/>
          <w:rFonts w:ascii="ISOCPEUR" w:hAnsi="ISOCPEUR"/>
          <w:i/>
          <w:sz w:val="28"/>
          <w:szCs w:val="28"/>
          <w:highlight w:val="lightGray"/>
          <w:lang w:val="uk-UA" w:eastAsia="uk-UA"/>
        </w:rPr>
        <w:t>:</w:t>
      </w:r>
    </w:p>
    <w:p w:rsidR="00863202" w:rsidRPr="005A3E52" w:rsidRDefault="00863202" w:rsidP="00863202">
      <w:pPr>
        <w:spacing w:before="96" w:line="288" w:lineRule="auto"/>
        <w:ind w:left="2520" w:right="-83"/>
        <w:jc w:val="right"/>
        <w:rPr>
          <w:rFonts w:ascii="ISOCPEUR" w:hAnsi="ISOCPEUR"/>
          <w:i/>
          <w:color w:val="FF6600"/>
          <w:sz w:val="28"/>
          <w:szCs w:val="28"/>
          <w:highlight w:val="lightGray"/>
          <w:lang w:val="uk-UA"/>
        </w:rPr>
      </w:pPr>
      <w:r w:rsidRPr="005A3E52">
        <w:rPr>
          <w:rFonts w:ascii="ISOCPEUR" w:hAnsi="ISOCPEUR"/>
          <w:i/>
          <w:position w:val="-12"/>
          <w:sz w:val="28"/>
          <w:szCs w:val="28"/>
          <w:highlight w:val="lightGray"/>
          <w:lang w:val="uk-UA"/>
        </w:rPr>
        <w:object w:dxaOrig="1340" w:dyaOrig="380">
          <v:shape id="_x0000_i1098" type="#_x0000_t75" style="width:69.75pt;height:19.5pt" o:ole="">
            <v:imagedata r:id="rId39" o:title=""/>
          </v:shape>
          <o:OLEObject Type="Embed" ProgID="Equation.3" ShapeID="_x0000_i1098" DrawAspect="Content" ObjectID="_1620769419" r:id="rId40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, якщо </w:t>
      </w:r>
      <w:r w:rsidRPr="005A3E52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840" w:dyaOrig="360">
          <v:shape id="_x0000_i1099" type="#_x0000_t75" style="width:43.5pt;height:18.75pt" o:ole="">
            <v:imagedata r:id="rId41" o:title=""/>
          </v:shape>
          <o:OLEObject Type="Embed" ProgID="Equation.3" ShapeID="_x0000_i1099" DrawAspect="Content" ObjectID="_1620769420" r:id="rId42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>;                                            (3)</w:t>
      </w:r>
    </w:p>
    <w:p w:rsidR="00863202" w:rsidRPr="005A3E52" w:rsidRDefault="00863202" w:rsidP="00863202">
      <w:pPr>
        <w:spacing w:before="96" w:line="288" w:lineRule="auto"/>
        <w:ind w:left="1824" w:right="-83"/>
        <w:jc w:val="right"/>
        <w:rPr>
          <w:rFonts w:ascii="ISOCPEUR" w:hAnsi="ISOCPEUR"/>
          <w:i/>
          <w:color w:val="FF6600"/>
          <w:sz w:val="28"/>
          <w:szCs w:val="28"/>
          <w:lang w:val="uk-UA"/>
        </w:rPr>
      </w:pPr>
      <w:r w:rsidRPr="005A3E52">
        <w:rPr>
          <w:rFonts w:ascii="ISOCPEUR" w:hAnsi="ISOCPEUR"/>
          <w:i/>
          <w:position w:val="-12"/>
          <w:sz w:val="28"/>
          <w:szCs w:val="28"/>
          <w:highlight w:val="lightGray"/>
          <w:lang w:val="uk-UA"/>
        </w:rPr>
        <w:object w:dxaOrig="1400" w:dyaOrig="380">
          <v:shape id="_x0000_i1100" type="#_x0000_t75" style="width:72.75pt;height:19.5pt" o:ole="">
            <v:imagedata r:id="rId43" o:title=""/>
          </v:shape>
          <o:OLEObject Type="Embed" ProgID="Equation.3" ShapeID="_x0000_i1100" DrawAspect="Content" ObjectID="_1620769421" r:id="rId44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 xml:space="preserve">, якщо </w:t>
      </w:r>
      <w:r w:rsidRPr="005A3E52">
        <w:rPr>
          <w:rFonts w:ascii="ISOCPEUR" w:hAnsi="ISOCPEUR"/>
          <w:i/>
          <w:position w:val="-10"/>
          <w:sz w:val="28"/>
          <w:szCs w:val="28"/>
          <w:highlight w:val="lightGray"/>
          <w:lang w:val="uk-UA"/>
        </w:rPr>
        <w:object w:dxaOrig="840" w:dyaOrig="360">
          <v:shape id="_x0000_i1101" type="#_x0000_t75" style="width:43.5pt;height:18.75pt" o:ole="">
            <v:imagedata r:id="rId45" o:title=""/>
          </v:shape>
          <o:OLEObject Type="Embed" ProgID="Equation.3" ShapeID="_x0000_i1101" DrawAspect="Content" ObjectID="_1620769422" r:id="rId46"/>
        </w:object>
      </w:r>
      <w:r w:rsidRPr="005A3E52">
        <w:rPr>
          <w:rFonts w:ascii="ISOCPEUR" w:hAnsi="ISOCPEUR"/>
          <w:i/>
          <w:sz w:val="28"/>
          <w:szCs w:val="28"/>
          <w:highlight w:val="lightGray"/>
          <w:lang w:val="uk-UA"/>
        </w:rPr>
        <w:t>.</w:t>
      </w:r>
      <w:r w:rsidRPr="005A3E52">
        <w:rPr>
          <w:rFonts w:ascii="ISOCPEUR" w:hAnsi="ISOCPEUR"/>
          <w:i/>
          <w:sz w:val="28"/>
          <w:szCs w:val="28"/>
          <w:lang w:val="uk-UA"/>
        </w:rPr>
        <w:t xml:space="preserve">                                            (4)</w:t>
      </w:r>
    </w:p>
    <w:p w:rsidR="000B0944" w:rsidRPr="005A3E52" w:rsidRDefault="000B0944" w:rsidP="006A4F88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val="uk-UA" w:eastAsia="uk-UA"/>
        </w:rPr>
      </w:pPr>
    </w:p>
    <w:p w:rsidR="006A4F88" w:rsidRPr="005A3E52" w:rsidRDefault="006A4F88" w:rsidP="006A4F88">
      <w:pPr>
        <w:pStyle w:val="Style13"/>
        <w:widowControl/>
        <w:spacing w:line="288" w:lineRule="auto"/>
        <w:ind w:firstLine="0"/>
        <w:rPr>
          <w:rStyle w:val="FontStyle141"/>
          <w:rFonts w:ascii="ISOCPEUR" w:hAnsi="ISOCPEUR"/>
          <w:i/>
          <w:sz w:val="28"/>
          <w:szCs w:val="28"/>
          <w:lang w:eastAsia="uk-UA"/>
        </w:rPr>
      </w:pPr>
      <w:r w:rsidRPr="005A3E52">
        <w:rPr>
          <w:rStyle w:val="FontStyle141"/>
          <w:rFonts w:ascii="ISOCPEUR" w:hAnsi="ISOCPEUR"/>
          <w:i/>
          <w:sz w:val="28"/>
          <w:szCs w:val="28"/>
          <w:lang w:val="uk-UA" w:eastAsia="uk-UA"/>
        </w:rPr>
        <w:t>Вулиця 1:</w:t>
      </w:r>
    </w:p>
    <w:p w:rsidR="00B716DA" w:rsidRPr="005A3E52" w:rsidRDefault="00AA5917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75+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-2,5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+1+2+0+0=75.5</m:t>
        </m:r>
      </m:oMath>
      <w:r w:rsidR="006A4F88" w:rsidRPr="005A3E52">
        <w:rPr>
          <w:rFonts w:ascii="ISOCPEUR" w:eastAsiaTheme="minorEastAsia" w:hAnsi="ISOCPEUR"/>
          <w:i/>
          <w:sz w:val="28"/>
          <w:szCs w:val="28"/>
          <w:lang w:val="uk-UA"/>
        </w:rPr>
        <w:t xml:space="preserve">   дБА</w:t>
      </w:r>
    </w:p>
    <w:p w:rsidR="006A4F88" w:rsidRPr="005A3E52" w:rsidRDefault="006A4F88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w:r w:rsidRPr="005A3E52">
        <w:rPr>
          <w:rFonts w:ascii="ISOCPEUR" w:eastAsiaTheme="minorEastAsia" w:hAnsi="ISOCPEUR"/>
          <w:i/>
          <w:sz w:val="28"/>
          <w:szCs w:val="28"/>
          <w:lang w:val="uk-UA"/>
        </w:rPr>
        <w:t>Вулиця 2:</w:t>
      </w:r>
    </w:p>
    <w:p w:rsidR="006A4F88" w:rsidRPr="005A3E52" w:rsidRDefault="00AA5917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68.5+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-4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+1+2+0+0=67.5</m:t>
        </m:r>
      </m:oMath>
      <w:r w:rsidR="006A4F88" w:rsidRPr="005A3E52">
        <w:rPr>
          <w:rFonts w:ascii="ISOCPEUR" w:eastAsiaTheme="minorEastAsia" w:hAnsi="ISOCPEUR"/>
          <w:i/>
          <w:sz w:val="28"/>
          <w:szCs w:val="28"/>
          <w:lang w:val="uk-UA"/>
        </w:rPr>
        <w:t xml:space="preserve">   дБА</w:t>
      </w:r>
    </w:p>
    <w:p w:rsidR="006A4F88" w:rsidRPr="005A3E52" w:rsidRDefault="006A4F88" w:rsidP="00E7511B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AA5917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∆А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75.5-67.5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  <w:r w:rsidR="00863202" w:rsidRPr="005A3E52">
        <w:rPr>
          <w:rFonts w:ascii="ISOCPEUR" w:eastAsiaTheme="minorEastAsia" w:hAnsi="ISOCPEUR"/>
          <w:i/>
          <w:sz w:val="28"/>
          <w:szCs w:val="28"/>
          <w:lang w:val="uk-UA"/>
        </w:rPr>
        <w:t xml:space="preserve"> дБА</w:t>
      </w:r>
    </w:p>
    <w:p w:rsidR="00863202" w:rsidRPr="005A3E52" w:rsidRDefault="00AA5917" w:rsidP="00E7511B">
      <w:pPr>
        <w:rPr>
          <w:rFonts w:ascii="ISOCPEUR" w:eastAsiaTheme="minorEastAsia" w:hAnsi="ISOCPEUR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=0.6</m:t>
        </m:r>
      </m:oMath>
      <w:r w:rsidR="00863202" w:rsidRPr="005A3E52">
        <w:rPr>
          <w:rFonts w:ascii="ISOCPEUR" w:eastAsiaTheme="minorEastAsia" w:hAnsi="ISOCPEUR"/>
          <w:i/>
          <w:sz w:val="28"/>
          <w:szCs w:val="28"/>
          <w:lang w:val="uk-UA"/>
        </w:rPr>
        <w:t xml:space="preserve"> </w:t>
      </w:r>
      <w:r w:rsidR="005C7EC8" w:rsidRPr="005A3E52">
        <w:rPr>
          <w:rFonts w:ascii="ISOCPEUR" w:eastAsiaTheme="minorEastAsia" w:hAnsi="ISOCPEUR"/>
          <w:i/>
          <w:sz w:val="28"/>
          <w:szCs w:val="28"/>
          <w:lang w:val="uk-UA"/>
        </w:rPr>
        <w:t>дБА</w:t>
      </w:r>
    </w:p>
    <w:p w:rsidR="00863202" w:rsidRPr="005A3E52" w:rsidRDefault="00AA5917" w:rsidP="00E7511B">
      <w:pPr>
        <w:rPr>
          <w:rFonts w:ascii="ISOCPEUR" w:hAnsi="ISOCPEUR"/>
          <w:i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''</m:t>
            </m:r>
          </m:sup>
        </m:sSubSup>
      </m:oMath>
      <w:r w:rsidR="00863202" w:rsidRPr="005A3E52">
        <w:rPr>
          <w:rFonts w:ascii="ISOCPEUR" w:eastAsiaTheme="minorEastAsia" w:hAnsi="ISOCPEUR"/>
          <w:i/>
          <w:sz w:val="28"/>
          <w:szCs w:val="28"/>
        </w:rPr>
        <w:t xml:space="preserve">, </w:t>
      </w:r>
      <w:r w:rsidR="00863202" w:rsidRPr="005A3E52">
        <w:rPr>
          <w:rFonts w:ascii="ISOCPEUR" w:eastAsiaTheme="minorEastAsia" w:hAnsi="ISOCPEUR"/>
          <w:i/>
          <w:sz w:val="28"/>
          <w:szCs w:val="28"/>
          <w:lang w:val="uk-UA"/>
        </w:rPr>
        <w:t xml:space="preserve">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=75.5+0.6=76.1</m:t>
        </m:r>
      </m:oMath>
      <w:r w:rsidR="005C7EC8" w:rsidRPr="005A3E52">
        <w:rPr>
          <w:rFonts w:ascii="ISOCPEUR" w:eastAsiaTheme="minorEastAsia" w:hAnsi="ISOCPEUR"/>
          <w:i/>
          <w:sz w:val="28"/>
          <w:szCs w:val="28"/>
          <w:lang w:val="uk-UA"/>
        </w:rPr>
        <w:t xml:space="preserve"> дБА</w:t>
      </w:r>
    </w:p>
    <w:tbl>
      <w:tblPr>
        <w:tblStyle w:val="a3"/>
        <w:tblpPr w:leftFromText="180" w:rightFromText="180" w:vertAnchor="page" w:horzAnchor="margin" w:tblpY="856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716"/>
        <w:gridCol w:w="709"/>
        <w:gridCol w:w="709"/>
        <w:gridCol w:w="708"/>
        <w:gridCol w:w="709"/>
        <w:gridCol w:w="425"/>
        <w:gridCol w:w="709"/>
        <w:gridCol w:w="643"/>
        <w:gridCol w:w="708"/>
        <w:gridCol w:w="762"/>
        <w:gridCol w:w="865"/>
        <w:gridCol w:w="708"/>
      </w:tblGrid>
      <w:tr w:rsidR="00994C78" w:rsidRPr="005A3E52" w:rsidTr="00994C78">
        <w:trPr>
          <w:cantSplit/>
          <w:trHeight w:val="698"/>
        </w:trPr>
        <w:tc>
          <w:tcPr>
            <w:tcW w:w="555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ind w:left="-120" w:right="-108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lastRenderedPageBreak/>
              <w:t>№ ділянки вулиці (дороги)</w:t>
            </w:r>
          </w:p>
        </w:tc>
        <w:tc>
          <w:tcPr>
            <w:tcW w:w="716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tabs>
                <w:tab w:val="left" w:pos="607"/>
              </w:tabs>
              <w:ind w:left="-101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Інтенсивність руху в</w:t>
            </w:r>
            <w:r w:rsidRPr="005A3E52">
              <w:rPr>
                <w:rFonts w:ascii="ISOCPEUR" w:hAnsi="ISOCPEUR"/>
                <w:b/>
                <w:i/>
                <w:sz w:val="24"/>
                <w:szCs w:val="24"/>
                <w:lang w:val="uk-UA"/>
              </w:rPr>
              <w:t xml:space="preserve"> </w:t>
            </w: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обох напрямках, </w:t>
            </w:r>
            <w:proofErr w:type="spellStart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авт</w:t>
            </w:r>
            <w:proofErr w:type="spellEnd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/год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Частка легкових автомобілів, %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Сер. швидкість транспортного потоку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ind w:left="-113" w:right="-106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Повздовжній ухил </w:t>
            </w:r>
            <w:proofErr w:type="spellStart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%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Кількість смуг </w:t>
            </w:r>
            <w:proofErr w:type="spellStart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Тип дорожнього покриття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tabs>
                <w:tab w:val="left" w:pos="271"/>
              </w:tabs>
              <w:ind w:left="-16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Еквівалентний рівень звуку, дБА</w:t>
            </w:r>
          </w:p>
        </w:tc>
        <w:tc>
          <w:tcPr>
            <w:tcW w:w="2978" w:type="dxa"/>
            <w:gridSpan w:val="4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Шумові поправки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Розрахунковий еквівалентний рівень звуку, дБА</w:t>
            </w:r>
          </w:p>
        </w:tc>
      </w:tr>
      <w:tr w:rsidR="00994C78" w:rsidRPr="005A3E52" w:rsidTr="00994C78">
        <w:trPr>
          <w:cantSplit/>
          <w:trHeight w:val="2409"/>
        </w:trPr>
        <w:tc>
          <w:tcPr>
            <w:tcW w:w="555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-120" w:right="-108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16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tabs>
                <w:tab w:val="left" w:pos="607"/>
              </w:tabs>
              <w:ind w:left="-101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8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-113" w:right="-106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709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  <w:tc>
          <w:tcPr>
            <w:tcW w:w="643" w:type="dxa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На середню швидкість руху, дБА</w:t>
            </w:r>
          </w:p>
        </w:tc>
        <w:tc>
          <w:tcPr>
            <w:tcW w:w="708" w:type="dxa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На повздовжній ухил </w:t>
            </w:r>
            <w:proofErr w:type="spellStart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дБА</w:t>
            </w:r>
          </w:p>
        </w:tc>
        <w:tc>
          <w:tcPr>
            <w:tcW w:w="762" w:type="dxa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На кількість смуг </w:t>
            </w:r>
            <w:proofErr w:type="spellStart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проїздної</w:t>
            </w:r>
            <w:proofErr w:type="spellEnd"/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 xml:space="preserve"> частини, дБА</w:t>
            </w:r>
          </w:p>
        </w:tc>
        <w:tc>
          <w:tcPr>
            <w:tcW w:w="865" w:type="dxa"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На тип дорожнього покриття, дБА</w:t>
            </w:r>
          </w:p>
        </w:tc>
        <w:tc>
          <w:tcPr>
            <w:tcW w:w="708" w:type="dxa"/>
            <w:vMerge/>
            <w:textDirection w:val="btLr"/>
            <w:vAlign w:val="center"/>
          </w:tcPr>
          <w:p w:rsidR="00994C78" w:rsidRPr="005A3E52" w:rsidRDefault="00994C78" w:rsidP="00994C78">
            <w:pPr>
              <w:ind w:left="113" w:right="113"/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</w:p>
        </w:tc>
      </w:tr>
      <w:tr w:rsidR="00994C78" w:rsidRPr="005A3E52" w:rsidTr="00994C78">
        <w:tc>
          <w:tcPr>
            <w:tcW w:w="55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16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5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6</w:t>
            </w:r>
          </w:p>
        </w:tc>
        <w:tc>
          <w:tcPr>
            <w:tcW w:w="42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7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8</w:t>
            </w:r>
          </w:p>
        </w:tc>
        <w:tc>
          <w:tcPr>
            <w:tcW w:w="643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9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10</w:t>
            </w:r>
          </w:p>
        </w:tc>
        <w:tc>
          <w:tcPr>
            <w:tcW w:w="762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11</w:t>
            </w:r>
          </w:p>
        </w:tc>
        <w:tc>
          <w:tcPr>
            <w:tcW w:w="86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12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13</w:t>
            </w:r>
          </w:p>
        </w:tc>
      </w:tr>
      <w:tr w:rsidR="00994C78" w:rsidRPr="005A3E52" w:rsidTr="00994C78">
        <w:trPr>
          <w:trHeight w:val="406"/>
        </w:trPr>
        <w:tc>
          <w:tcPr>
            <w:tcW w:w="55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В1</w:t>
            </w:r>
          </w:p>
        </w:tc>
        <w:tc>
          <w:tcPr>
            <w:tcW w:w="716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1200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75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36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2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а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73,8</w:t>
            </w:r>
          </w:p>
        </w:tc>
        <w:tc>
          <w:tcPr>
            <w:tcW w:w="643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-2,5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62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86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75.5</w:t>
            </w:r>
          </w:p>
        </w:tc>
      </w:tr>
      <w:tr w:rsidR="00994C78" w:rsidRPr="005A3E52" w:rsidTr="00994C78">
        <w:trPr>
          <w:trHeight w:val="411"/>
        </w:trPr>
        <w:tc>
          <w:tcPr>
            <w:tcW w:w="55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В2</w:t>
            </w:r>
          </w:p>
        </w:tc>
        <w:tc>
          <w:tcPr>
            <w:tcW w:w="716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600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85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30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42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а</w:t>
            </w:r>
          </w:p>
        </w:tc>
        <w:tc>
          <w:tcPr>
            <w:tcW w:w="709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68,5</w:t>
            </w:r>
          </w:p>
        </w:tc>
        <w:tc>
          <w:tcPr>
            <w:tcW w:w="643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-4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762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865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708" w:type="dxa"/>
            <w:vAlign w:val="center"/>
          </w:tcPr>
          <w:p w:rsidR="00994C78" w:rsidRPr="005A3E52" w:rsidRDefault="00994C78" w:rsidP="00994C78">
            <w:pPr>
              <w:jc w:val="center"/>
              <w:rPr>
                <w:rFonts w:ascii="ISOCPEUR" w:hAnsi="ISOCPEUR"/>
                <w:i/>
                <w:sz w:val="24"/>
                <w:szCs w:val="24"/>
                <w:lang w:val="uk-UA"/>
              </w:rPr>
            </w:pPr>
            <w:r w:rsidRPr="005A3E52">
              <w:rPr>
                <w:rFonts w:ascii="ISOCPEUR" w:hAnsi="ISOCPEUR"/>
                <w:i/>
                <w:sz w:val="24"/>
                <w:szCs w:val="24"/>
                <w:lang w:val="uk-UA"/>
              </w:rPr>
              <w:t>67.5</w:t>
            </w:r>
          </w:p>
        </w:tc>
      </w:tr>
    </w:tbl>
    <w:p w:rsidR="00B716DA" w:rsidRPr="005A3E52" w:rsidRDefault="00B716DA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B354EE" w:rsidRPr="005A3E52" w:rsidRDefault="00B354EE">
      <w:pPr>
        <w:rPr>
          <w:rFonts w:ascii="ISOCPEUR" w:hAnsi="ISOCPEUR"/>
          <w:i/>
          <w:sz w:val="28"/>
          <w:szCs w:val="28"/>
          <w:lang w:val="uk-UA"/>
        </w:rPr>
      </w:pPr>
    </w:p>
    <w:p w:rsidR="00AF515F" w:rsidRPr="005A3E52" w:rsidRDefault="00B354EE" w:rsidP="00AF515F">
      <w:pPr>
        <w:pStyle w:val="a5"/>
        <w:numPr>
          <w:ilvl w:val="1"/>
          <w:numId w:val="5"/>
        </w:numPr>
        <w:spacing w:after="0" w:line="360" w:lineRule="auto"/>
        <w:jc w:val="center"/>
        <w:rPr>
          <w:rFonts w:ascii="ISOCPEUR" w:hAnsi="ISOCPEUR" w:cs="Times New Roman"/>
          <w:b/>
          <w:i/>
          <w:sz w:val="28"/>
          <w:szCs w:val="28"/>
        </w:rPr>
      </w:pPr>
      <w:r w:rsidRPr="005A3E52">
        <w:rPr>
          <w:rFonts w:ascii="ISOCPEUR" w:hAnsi="ISOCPEUR" w:cs="Times New Roman"/>
          <w:b/>
          <w:i/>
          <w:sz w:val="28"/>
          <w:szCs w:val="28"/>
        </w:rPr>
        <w:lastRenderedPageBreak/>
        <w:t>Інсоляційний режим території. Заходи щодо покращення інсоляції території</w:t>
      </w:r>
    </w:p>
    <w:p w:rsidR="00AF515F" w:rsidRPr="005A3E52" w:rsidRDefault="00AF515F" w:rsidP="00AF515F">
      <w:pPr>
        <w:spacing w:after="0" w:line="360" w:lineRule="auto"/>
        <w:ind w:firstLine="709"/>
        <w:rPr>
          <w:rFonts w:ascii="ISOCPEUR" w:hAnsi="ISOCPEUR" w:cs="Times New Roman"/>
          <w:b/>
          <w:i/>
          <w:sz w:val="28"/>
          <w:szCs w:val="28"/>
        </w:rPr>
      </w:pP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Інсоляція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житлових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територій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– важливий санітарно-гігієнічний фактор зовнішнього середовища. </w:t>
      </w:r>
    </w:p>
    <w:p w:rsidR="00AF515F" w:rsidRPr="005A3E52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Критерій інсоляції — тривалість прямого сонячного опромінення. Відповідно до санітарних та містобудівних норм розміщення та орієнтація житлових і громадських будинків (за винятком дитячих дошкільних установ, загальноосвітніх шкіл, шкіл-інтернатів) повинні забезпечувати тривалість інсоляції житлових приміщень, визначених санітарними нормами, і територій не менше 2,5 год за день на період з 22 березня по 22 вересня.</w:t>
      </w:r>
    </w:p>
    <w:p w:rsidR="00994C78" w:rsidRPr="005A3E52" w:rsidRDefault="00AF515F" w:rsidP="00AF515F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 xml:space="preserve">В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умовах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забудови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9-поверховими будинками і більше допускається одноразова переривчастість інсоляції житлових приміщень за умови збільшення сумарної тривалості інсоляції протягом дня на 0,5 год.</w:t>
      </w:r>
    </w:p>
    <w:p w:rsidR="00AF515F" w:rsidRPr="005A3E52" w:rsidRDefault="00AF515F" w:rsidP="00AF515F">
      <w:pPr>
        <w:spacing w:after="0" w:line="360" w:lineRule="auto"/>
        <w:jc w:val="center"/>
        <w:rPr>
          <w:rFonts w:ascii="ISOCPEUR" w:hAnsi="ISOCPEUR" w:cs="Times New Roman"/>
          <w:i/>
          <w:sz w:val="28"/>
          <w:szCs w:val="28"/>
        </w:rPr>
      </w:pP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Побудова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карти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інсоляції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території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житлової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групи</w:t>
      </w:r>
      <w:proofErr w:type="spellEnd"/>
    </w:p>
    <w:p w:rsidR="00AF515F" w:rsidRPr="005A3E52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Найбільш простим методом, який відповідає завданням проектування та додержанню діючих гігієнічних нормативів є графічний метод.</w:t>
      </w:r>
    </w:p>
    <w:p w:rsidR="00AF515F" w:rsidRPr="005A3E52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 xml:space="preserve">За цим методом для визначення умов інсоляції складають карту інсоляції території житлової забудови, на якій зображують ізолінії тривалості інсоляції по годинах (від 1 до 10 год). Метод передбачає використання спеціальних приладів (інсоляційна лінійка, </w:t>
      </w:r>
      <w:proofErr w:type="spellStart"/>
      <w:r w:rsidRPr="005A3E52">
        <w:rPr>
          <w:rFonts w:ascii="ISOCPEUR" w:hAnsi="ISOCPEUR" w:cs="Times New Roman"/>
          <w:i/>
          <w:sz w:val="28"/>
          <w:szCs w:val="28"/>
        </w:rPr>
        <w:t>світлопланомір</w:t>
      </w:r>
      <w:proofErr w:type="spellEnd"/>
      <w:r w:rsidRPr="005A3E52">
        <w:rPr>
          <w:rFonts w:ascii="ISOCPEUR" w:hAnsi="ISOCPEUR" w:cs="Times New Roman"/>
          <w:i/>
          <w:sz w:val="28"/>
          <w:szCs w:val="28"/>
        </w:rPr>
        <w:t xml:space="preserve"> ДМ - 55 та ін.). </w:t>
      </w:r>
    </w:p>
    <w:p w:rsidR="00AF515F" w:rsidRPr="005A3E52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>Інсоляційна лінійка є графічним зображенням горизонтальної проекції похилої площини руху Сонця на певній географічній широті у дні рівнодення. Інсоляційна лінійка являє собою спеціально градуйовані часову та висотну шкали, нанесені на прозору основу (кальку, плівку, пластину). Часова шкала розміщена на нижній та бічних частинах контуру палетки, а висотна – зображена у вигляді горизонтальних ліній усередині контуру.</w:t>
      </w:r>
    </w:p>
    <w:p w:rsidR="00AF515F" w:rsidRPr="005A3E52" w:rsidRDefault="00AF515F" w:rsidP="00AF515F">
      <w:pPr>
        <w:pStyle w:val="a5"/>
        <w:spacing w:after="0" w:line="360" w:lineRule="auto"/>
        <w:ind w:left="0" w:firstLine="709"/>
        <w:jc w:val="both"/>
        <w:rPr>
          <w:rFonts w:ascii="ISOCPEUR" w:hAnsi="ISOCPEUR" w:cs="Times New Roman"/>
          <w:i/>
          <w:sz w:val="28"/>
          <w:szCs w:val="28"/>
        </w:rPr>
      </w:pPr>
      <w:r w:rsidRPr="005A3E52">
        <w:rPr>
          <w:rFonts w:ascii="ISOCPEUR" w:hAnsi="ISOCPEUR" w:cs="Times New Roman"/>
          <w:i/>
          <w:sz w:val="28"/>
          <w:szCs w:val="28"/>
        </w:rPr>
        <w:t xml:space="preserve">Зверху посередині лінійки розміщена фіксована точка, через яку проходить вертикальна лінія із стрілкою Пн та радіальні лінії до часової </w:t>
      </w:r>
      <w:r w:rsidRPr="005A3E52">
        <w:rPr>
          <w:rFonts w:ascii="ISOCPEUR" w:hAnsi="ISOCPEUR" w:cs="Times New Roman"/>
          <w:i/>
          <w:sz w:val="28"/>
          <w:szCs w:val="28"/>
        </w:rPr>
        <w:lastRenderedPageBreak/>
        <w:t>шкали лінійки. Вертикальна лінія із стрілкою позначає напрямок географічного меридіана, а радіальні лінії градуюють часову</w:t>
      </w:r>
      <w:r w:rsidR="004B42B2" w:rsidRPr="005A3E52">
        <w:rPr>
          <w:rFonts w:ascii="ISOCPEUR" w:hAnsi="ISOCPEUR" w:cs="Times New Roman"/>
          <w:i/>
          <w:sz w:val="28"/>
          <w:szCs w:val="28"/>
        </w:rPr>
        <w:t xml:space="preserve"> шкалу лінійки з інтервалом 0,10</w:t>
      </w:r>
      <w:r w:rsidRPr="005A3E52">
        <w:rPr>
          <w:rFonts w:ascii="ISOCPEUR" w:hAnsi="ISOCPEUR" w:cs="Times New Roman"/>
          <w:i/>
          <w:sz w:val="28"/>
          <w:szCs w:val="28"/>
        </w:rPr>
        <w:t xml:space="preserve"> години. Висотна шкала лінійки має градуювання, що відповідає висотам будинків з 5, 9, 16, 20 поверхами.</w:t>
      </w:r>
    </w:p>
    <w:p w:rsidR="00AF515F" w:rsidRPr="005A3E52" w:rsidRDefault="00AF515F" w:rsidP="00AF515F">
      <w:pPr>
        <w:spacing w:after="0" w:line="360" w:lineRule="auto"/>
        <w:ind w:firstLine="709"/>
        <w:jc w:val="both"/>
        <w:rPr>
          <w:rFonts w:ascii="ISOCPEUR" w:hAnsi="ISOCPEUR" w:cs="Times New Roman"/>
          <w:i/>
          <w:sz w:val="28"/>
          <w:szCs w:val="28"/>
          <w:lang w:val="uk-UA"/>
        </w:rPr>
      </w:pP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097B01" w:rsidRPr="00097B01" w:rsidRDefault="00097B01" w:rsidP="00097B01">
      <w:pPr>
        <w:pStyle w:val="a5"/>
        <w:numPr>
          <w:ilvl w:val="1"/>
          <w:numId w:val="5"/>
        </w:numPr>
        <w:spacing w:after="0" w:line="360" w:lineRule="auto"/>
        <w:rPr>
          <w:rFonts w:ascii="ISOCPEUR" w:hAnsi="ISOCPEUR" w:cs="Times New Roman"/>
          <w:b/>
          <w:i/>
          <w:sz w:val="28"/>
          <w:szCs w:val="28"/>
        </w:rPr>
      </w:pPr>
      <w:r w:rsidRPr="00097B01">
        <w:rPr>
          <w:rFonts w:ascii="ISOCPEUR" w:hAnsi="ISOCPEUR" w:cs="Times New Roman"/>
          <w:b/>
          <w:i/>
          <w:sz w:val="28"/>
          <w:szCs w:val="28"/>
        </w:rPr>
        <w:t xml:space="preserve">Аераційний режим території. Заходи щодо </w:t>
      </w:r>
      <w:r>
        <w:rPr>
          <w:rFonts w:ascii="ISOCPEUR" w:hAnsi="ISOCPEUR" w:cs="Times New Roman"/>
          <w:b/>
          <w:i/>
          <w:sz w:val="28"/>
          <w:szCs w:val="28"/>
        </w:rPr>
        <w:t>вітрозахисту і провітрювання</w:t>
      </w:r>
    </w:p>
    <w:p w:rsidR="00097B01" w:rsidRPr="00097B01" w:rsidRDefault="00097B01" w:rsidP="00097B0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B01">
        <w:rPr>
          <w:rFonts w:ascii="Times New Roman" w:hAnsi="Times New Roman" w:cs="Times New Roman"/>
          <w:sz w:val="28"/>
          <w:szCs w:val="28"/>
        </w:rPr>
        <w:t>Аерація житлової території — один з важливих факторів зовнішнього середовища.</w:t>
      </w:r>
    </w:p>
    <w:p w:rsidR="00097B01" w:rsidRPr="00097B01" w:rsidRDefault="00097B01" w:rsidP="00097B0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B01">
        <w:rPr>
          <w:rFonts w:ascii="Times New Roman" w:hAnsi="Times New Roman" w:cs="Times New Roman"/>
          <w:sz w:val="28"/>
          <w:szCs w:val="28"/>
        </w:rPr>
        <w:t>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забудови.</w:t>
      </w:r>
    </w:p>
    <w:p w:rsidR="00097B01" w:rsidRPr="00097B01" w:rsidRDefault="00097B01" w:rsidP="00097B0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B01">
        <w:rPr>
          <w:rFonts w:ascii="Times New Roman" w:hAnsi="Times New Roman" w:cs="Times New Roman"/>
          <w:sz w:val="28"/>
          <w:szCs w:val="28"/>
        </w:rPr>
        <w:t>Швидкість вітру V</w:t>
      </w:r>
      <w:r w:rsidRPr="00097B01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097B01">
        <w:rPr>
          <w:rFonts w:ascii="Times New Roman" w:hAnsi="Times New Roman" w:cs="Times New Roman"/>
          <w:sz w:val="28"/>
          <w:szCs w:val="28"/>
        </w:rPr>
        <w:t>, м/с , на висоті 2 м від поверхні землі визначаємо за формулою:</w:t>
      </w:r>
    </w:p>
    <w:p w:rsidR="00097B01" w:rsidRPr="00097B01" w:rsidRDefault="00097B01" w:rsidP="00097B01">
      <w:pPr>
        <w:pStyle w:val="a5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97B01">
        <w:rPr>
          <w:rFonts w:ascii="Times New Roman" w:hAnsi="Times New Roman" w:cs="Times New Roman"/>
          <w:sz w:val="28"/>
          <w:szCs w:val="28"/>
        </w:rPr>
        <w:t>V</w:t>
      </w:r>
      <w:r w:rsidRPr="00097B01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097B01">
        <w:rPr>
          <w:rFonts w:ascii="Times New Roman" w:hAnsi="Times New Roman" w:cs="Times New Roman"/>
          <w:sz w:val="28"/>
          <w:szCs w:val="28"/>
        </w:rPr>
        <w:t xml:space="preserve"> = V</w:t>
      </w:r>
      <w:r w:rsidRPr="00097B01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097B01">
        <w:rPr>
          <w:rFonts w:ascii="Times New Roman" w:hAnsi="Times New Roman" w:cs="Times New Roman"/>
          <w:sz w:val="28"/>
          <w:szCs w:val="28"/>
        </w:rPr>
        <w:t xml:space="preserve"> К</w:t>
      </w:r>
      <w:r w:rsidRPr="00097B01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097B0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097B01" w:rsidRPr="00097B01" w:rsidRDefault="00097B01" w:rsidP="00097B0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B01">
        <w:rPr>
          <w:rFonts w:ascii="Times New Roman" w:hAnsi="Times New Roman" w:cs="Times New Roman"/>
          <w:sz w:val="28"/>
          <w:szCs w:val="28"/>
        </w:rPr>
        <w:t>де V</w:t>
      </w:r>
      <w:r w:rsidRPr="00097B01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097B01">
        <w:rPr>
          <w:rFonts w:ascii="Times New Roman" w:hAnsi="Times New Roman" w:cs="Times New Roman"/>
          <w:sz w:val="28"/>
          <w:szCs w:val="28"/>
        </w:rPr>
        <w:t xml:space="preserve"> – швидкість вітру на висоті флюгера метеостанції, м/с; </w:t>
      </w:r>
    </w:p>
    <w:p w:rsidR="00097B01" w:rsidRPr="00097B01" w:rsidRDefault="00097B01" w:rsidP="00097B0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B01">
        <w:rPr>
          <w:rFonts w:ascii="Times New Roman" w:hAnsi="Times New Roman" w:cs="Times New Roman"/>
          <w:sz w:val="28"/>
          <w:szCs w:val="28"/>
        </w:rPr>
        <w:t>К</w:t>
      </w:r>
      <w:r w:rsidRPr="00097B01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097B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97B01">
        <w:rPr>
          <w:rFonts w:ascii="Times New Roman" w:hAnsi="Times New Roman" w:cs="Times New Roman"/>
          <w:sz w:val="28"/>
          <w:szCs w:val="28"/>
        </w:rPr>
        <w:t>поправковий</w:t>
      </w:r>
      <w:proofErr w:type="spellEnd"/>
      <w:r w:rsidRPr="00097B01">
        <w:rPr>
          <w:rFonts w:ascii="Times New Roman" w:hAnsi="Times New Roman" w:cs="Times New Roman"/>
          <w:sz w:val="28"/>
          <w:szCs w:val="28"/>
        </w:rPr>
        <w:t xml:space="preserve"> коефіцієнт (на висоті флюгера метеостанції 11м, К</w:t>
      </w:r>
      <w:r w:rsidRPr="00097B01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097B01">
        <w:rPr>
          <w:rFonts w:ascii="Times New Roman" w:hAnsi="Times New Roman" w:cs="Times New Roman"/>
          <w:sz w:val="28"/>
          <w:szCs w:val="28"/>
        </w:rPr>
        <w:t>=0,71)</w:t>
      </w:r>
    </w:p>
    <w:p w:rsidR="00AA5917" w:rsidRPr="00AA5917" w:rsidRDefault="00AA5917" w:rsidP="00AA59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AA591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4,2×0,71 = 2,98</w:t>
      </w:r>
      <w:r w:rsidRPr="00AA5917">
        <w:rPr>
          <w:rFonts w:ascii="Times New Roman" w:hAnsi="Times New Roman" w:cs="Times New Roman"/>
          <w:sz w:val="28"/>
          <w:szCs w:val="28"/>
          <w:lang w:val="uk-UA"/>
        </w:rPr>
        <w:t xml:space="preserve"> м/с </w:t>
      </w:r>
      <w:bookmarkStart w:id="0" w:name="_GoBack"/>
      <w:bookmarkEnd w:id="0"/>
    </w:p>
    <w:p w:rsidR="00AA5917" w:rsidRPr="00AA5917" w:rsidRDefault="00AA5917" w:rsidP="00AA59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5917"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карти аерації території визначається необхідне зменшення швидкості вітру </w:t>
      </w:r>
      <w:r w:rsidRPr="002433C3">
        <w:rPr>
          <w:rFonts w:ascii="Times New Roman" w:hAnsi="Times New Roman" w:cs="Times New Roman"/>
          <w:sz w:val="28"/>
          <w:szCs w:val="28"/>
        </w:rPr>
        <w:t>V</w:t>
      </w:r>
      <w:r w:rsidRPr="00AA591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</w:t>
      </w:r>
      <w:r w:rsidRPr="00AA5917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комфортних умов вітряного режиму та довжина вітряної тіні </w:t>
      </w:r>
      <w:r w:rsidRPr="002433C3">
        <w:rPr>
          <w:rFonts w:ascii="Times New Roman" w:hAnsi="Times New Roman" w:cs="Times New Roman"/>
          <w:sz w:val="28"/>
          <w:szCs w:val="28"/>
        </w:rPr>
        <w:t>L</w:t>
      </w:r>
      <w:r w:rsidRPr="002433C3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AA5917">
        <w:rPr>
          <w:rFonts w:ascii="Times New Roman" w:hAnsi="Times New Roman" w:cs="Times New Roman"/>
          <w:sz w:val="28"/>
          <w:szCs w:val="28"/>
          <w:lang w:val="uk-UA"/>
        </w:rPr>
        <w:t xml:space="preserve"> від кожного будинку на території забудови.</w:t>
      </w: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994C78" w:rsidRPr="005A3E52" w:rsidRDefault="00994C78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p w:rsidR="00863202" w:rsidRPr="005A3E52" w:rsidRDefault="00863202">
      <w:pPr>
        <w:rPr>
          <w:rFonts w:ascii="ISOCPEUR" w:hAnsi="ISOCPEUR"/>
          <w:i/>
          <w:sz w:val="28"/>
          <w:szCs w:val="28"/>
          <w:lang w:val="uk-UA"/>
        </w:rPr>
      </w:pPr>
    </w:p>
    <w:sectPr w:rsidR="00863202" w:rsidRPr="005A3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560E"/>
    <w:multiLevelType w:val="multilevel"/>
    <w:tmpl w:val="457AB4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FE250F"/>
    <w:multiLevelType w:val="multilevel"/>
    <w:tmpl w:val="EAE85D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6F33D29"/>
    <w:multiLevelType w:val="multilevel"/>
    <w:tmpl w:val="531A8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78360F8"/>
    <w:multiLevelType w:val="multilevel"/>
    <w:tmpl w:val="EAE85D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6A1E433B"/>
    <w:multiLevelType w:val="hybridMultilevel"/>
    <w:tmpl w:val="E844F874"/>
    <w:lvl w:ilvl="0" w:tplc="4E1CF216">
      <w:numFmt w:val="bullet"/>
      <w:lvlText w:val="–"/>
      <w:lvlJc w:val="left"/>
      <w:pPr>
        <w:tabs>
          <w:tab w:val="num" w:pos="1185"/>
        </w:tabs>
        <w:ind w:left="1185" w:hanging="705"/>
      </w:pPr>
      <w:rPr>
        <w:rFonts w:ascii="Times New Roman" w:eastAsia="Times New Roman" w:hAnsi="Times New Roman" w:cs="Times New Roman" w:hint="default"/>
      </w:rPr>
    </w:lvl>
    <w:lvl w:ilvl="1" w:tplc="4E1CF216">
      <w:numFmt w:val="bullet"/>
      <w:lvlText w:val="–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0"/>
    <w:rsid w:val="00097B01"/>
    <w:rsid w:val="000B0944"/>
    <w:rsid w:val="001D1015"/>
    <w:rsid w:val="001F1B56"/>
    <w:rsid w:val="003D6F48"/>
    <w:rsid w:val="00486111"/>
    <w:rsid w:val="004B42B2"/>
    <w:rsid w:val="005000A3"/>
    <w:rsid w:val="005A3E52"/>
    <w:rsid w:val="005C7EC8"/>
    <w:rsid w:val="00623CCD"/>
    <w:rsid w:val="006A4F88"/>
    <w:rsid w:val="007C7EF6"/>
    <w:rsid w:val="00834C4F"/>
    <w:rsid w:val="00855FDE"/>
    <w:rsid w:val="00863202"/>
    <w:rsid w:val="008F7DF1"/>
    <w:rsid w:val="00994C78"/>
    <w:rsid w:val="00AA5917"/>
    <w:rsid w:val="00AF515F"/>
    <w:rsid w:val="00B354EE"/>
    <w:rsid w:val="00B716DA"/>
    <w:rsid w:val="00C23627"/>
    <w:rsid w:val="00E7511B"/>
    <w:rsid w:val="00F32B7A"/>
    <w:rsid w:val="00F6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864F549"/>
  <w15:chartTrackingRefBased/>
  <w15:docId w15:val="{8B9147F0-A653-408D-9736-B7A5527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Style13"/>
    <w:basedOn w:val="a"/>
    <w:rsid w:val="00E7511B"/>
    <w:pPr>
      <w:widowControl w:val="0"/>
      <w:autoSpaceDE w:val="0"/>
      <w:autoSpaceDN w:val="0"/>
      <w:adjustRightInd w:val="0"/>
      <w:spacing w:after="0" w:line="256" w:lineRule="exact"/>
      <w:ind w:firstLine="288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41">
    <w:name w:val="Font Style141"/>
    <w:basedOn w:val="a0"/>
    <w:rsid w:val="00E7511B"/>
    <w:rPr>
      <w:rFonts w:ascii="Arial" w:hAnsi="Arial" w:cs="Arial"/>
      <w:sz w:val="14"/>
      <w:szCs w:val="14"/>
    </w:rPr>
  </w:style>
  <w:style w:type="character" w:customStyle="1" w:styleId="FontStyle136">
    <w:name w:val="Font Style136"/>
    <w:basedOn w:val="a0"/>
    <w:rsid w:val="00E7511B"/>
    <w:rPr>
      <w:rFonts w:ascii="Arial" w:hAnsi="Arial" w:cs="Arial"/>
      <w:sz w:val="16"/>
      <w:szCs w:val="16"/>
    </w:rPr>
  </w:style>
  <w:style w:type="paragraph" w:customStyle="1" w:styleId="Style10">
    <w:name w:val="Style10"/>
    <w:basedOn w:val="a"/>
    <w:rsid w:val="005000A3"/>
    <w:pPr>
      <w:widowControl w:val="0"/>
      <w:autoSpaceDE w:val="0"/>
      <w:autoSpaceDN w:val="0"/>
      <w:adjustRightInd w:val="0"/>
      <w:spacing w:after="0" w:line="182" w:lineRule="exact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customStyle="1" w:styleId="FontStyle62">
    <w:name w:val="Font Style62"/>
    <w:basedOn w:val="a0"/>
    <w:rsid w:val="005000A3"/>
    <w:rPr>
      <w:rFonts w:ascii="Arial" w:hAnsi="Arial" w:cs="Arial"/>
      <w:b/>
      <w:bCs/>
      <w:smallCaps/>
      <w:sz w:val="24"/>
      <w:szCs w:val="24"/>
    </w:rPr>
  </w:style>
  <w:style w:type="character" w:customStyle="1" w:styleId="FontStyle37">
    <w:name w:val="Font Style37"/>
    <w:basedOn w:val="a0"/>
    <w:rsid w:val="005000A3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rsid w:val="005000A3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 w:cs="Times New Roman"/>
      <w:sz w:val="24"/>
      <w:szCs w:val="24"/>
      <w:lang w:eastAsia="ru-RU"/>
    </w:rPr>
  </w:style>
  <w:style w:type="paragraph" w:customStyle="1" w:styleId="Style18">
    <w:name w:val="Style18"/>
    <w:basedOn w:val="a"/>
    <w:rsid w:val="005000A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FontStyle140">
    <w:name w:val="Font Style140"/>
    <w:basedOn w:val="a0"/>
    <w:rsid w:val="005000A3"/>
    <w:rPr>
      <w:rFonts w:ascii="Arial" w:hAnsi="Arial" w:cs="Arial"/>
      <w:smallCaps/>
      <w:sz w:val="18"/>
      <w:szCs w:val="18"/>
    </w:rPr>
  </w:style>
  <w:style w:type="paragraph" w:customStyle="1" w:styleId="Style20">
    <w:name w:val="Style20"/>
    <w:basedOn w:val="a"/>
    <w:rsid w:val="005000A3"/>
    <w:pPr>
      <w:widowControl w:val="0"/>
      <w:autoSpaceDE w:val="0"/>
      <w:autoSpaceDN w:val="0"/>
      <w:adjustRightInd w:val="0"/>
      <w:spacing w:after="0" w:line="258" w:lineRule="exact"/>
      <w:ind w:firstLine="73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40">
    <w:name w:val="Style40"/>
    <w:basedOn w:val="a"/>
    <w:rsid w:val="000B0944"/>
    <w:pPr>
      <w:widowControl w:val="0"/>
      <w:autoSpaceDE w:val="0"/>
      <w:autoSpaceDN w:val="0"/>
      <w:adjustRightInd w:val="0"/>
      <w:spacing w:after="0" w:line="240" w:lineRule="auto"/>
    </w:pPr>
    <w:rPr>
      <w:rFonts w:ascii="Candara" w:eastAsia="Times New Roman" w:hAnsi="Candara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A4F88"/>
    <w:rPr>
      <w:color w:val="808080"/>
    </w:rPr>
  </w:style>
  <w:style w:type="paragraph" w:styleId="a5">
    <w:name w:val="List Paragraph"/>
    <w:basedOn w:val="a"/>
    <w:uiPriority w:val="34"/>
    <w:qFormat/>
    <w:rsid w:val="00486111"/>
    <w:pPr>
      <w:spacing w:after="200" w:line="276" w:lineRule="auto"/>
      <w:ind w:left="720"/>
      <w:contextualSpacing/>
    </w:pPr>
    <w:rPr>
      <w:lang w:val="uk-UA"/>
    </w:rPr>
  </w:style>
  <w:style w:type="character" w:customStyle="1" w:styleId="FontStyle60">
    <w:name w:val="Font Style60"/>
    <w:basedOn w:val="a0"/>
    <w:rsid w:val="00B354EE"/>
    <w:rPr>
      <w:rFonts w:ascii="Candara" w:hAnsi="Candara" w:cs="Candar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11</cp:revision>
  <dcterms:created xsi:type="dcterms:W3CDTF">2019-03-21T21:05:00Z</dcterms:created>
  <dcterms:modified xsi:type="dcterms:W3CDTF">2019-05-30T21:50:00Z</dcterms:modified>
</cp:coreProperties>
</file>