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79A5" w14:textId="77777777" w:rsidR="00FA04F6" w:rsidRDefault="003676CD">
      <w:pPr>
        <w:spacing w:after="0" w:line="300" w:lineRule="atLeast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Unit 10</w:t>
      </w:r>
    </w:p>
    <w:p w14:paraId="687B7393" w14:textId="77777777" w:rsidR="00FA04F6" w:rsidRDefault="003676CD">
      <w:pPr>
        <w:spacing w:after="0" w:line="300" w:lineRule="atLeast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Vocab Task → Note down the meanings of the words…</w:t>
      </w:r>
    </w:p>
    <w:tbl>
      <w:tblPr>
        <w:tblW w:w="9071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FA04F6" w14:paraId="5AEE7E1F" w14:textId="77777777">
        <w:tc>
          <w:tcPr>
            <w:tcW w:w="4535" w:type="dxa"/>
          </w:tcPr>
          <w:p w14:paraId="630DB6ED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sun-blasted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202F8ADA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sonnenbestrahlt </w:t>
            </w:r>
          </w:p>
        </w:tc>
      </w:tr>
      <w:tr w:rsidR="00FA04F6" w14:paraId="1EFD7811" w14:textId="77777777">
        <w:tc>
          <w:tcPr>
            <w:tcW w:w="4535" w:type="dxa"/>
          </w:tcPr>
          <w:p w14:paraId="0A695C8F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site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07107FA4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Standort</w:t>
            </w:r>
          </w:p>
        </w:tc>
      </w:tr>
      <w:tr w:rsidR="00FA04F6" w14:paraId="6643D3CA" w14:textId="77777777">
        <w:tc>
          <w:tcPr>
            <w:tcW w:w="4535" w:type="dxa"/>
          </w:tcPr>
          <w:p w14:paraId="7CF3F492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to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implement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35FA816C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Implementieren</w:t>
            </w:r>
          </w:p>
        </w:tc>
      </w:tr>
      <w:tr w:rsidR="00FA04F6" w14:paraId="422C207F" w14:textId="77777777">
        <w:tc>
          <w:tcPr>
            <w:tcW w:w="4535" w:type="dxa"/>
          </w:tcPr>
          <w:p w14:paraId="5320D821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occasional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2E104B79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gelegentlich</w:t>
            </w:r>
          </w:p>
        </w:tc>
      </w:tr>
      <w:tr w:rsidR="00FA04F6" w14:paraId="2F7BCA6A" w14:textId="77777777">
        <w:tc>
          <w:tcPr>
            <w:tcW w:w="4535" w:type="dxa"/>
          </w:tcPr>
          <w:p w14:paraId="31E7832D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abundant </w:t>
            </w:r>
          </w:p>
        </w:tc>
        <w:tc>
          <w:tcPr>
            <w:tcW w:w="4536" w:type="dxa"/>
          </w:tcPr>
          <w:p w14:paraId="19A0236D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reichlich </w:t>
            </w:r>
          </w:p>
        </w:tc>
      </w:tr>
      <w:tr w:rsidR="00FA04F6" w14:paraId="6C730FF3" w14:textId="77777777">
        <w:tc>
          <w:tcPr>
            <w:tcW w:w="4535" w:type="dxa"/>
          </w:tcPr>
          <w:p w14:paraId="3B1118BA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viable </w:t>
            </w:r>
          </w:p>
        </w:tc>
        <w:tc>
          <w:tcPr>
            <w:tcW w:w="4536" w:type="dxa"/>
          </w:tcPr>
          <w:p w14:paraId="19EE77B5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tragfähig</w:t>
            </w:r>
          </w:p>
        </w:tc>
      </w:tr>
      <w:tr w:rsidR="00FA04F6" w14:paraId="2209AF4A" w14:textId="77777777">
        <w:tc>
          <w:tcPr>
            <w:tcW w:w="4535" w:type="dxa"/>
          </w:tcPr>
          <w:p w14:paraId="1537DC22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to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surpass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expectations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1B04CBC3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Die Erwartungen übertreffen</w:t>
            </w:r>
          </w:p>
        </w:tc>
      </w:tr>
      <w:tr w:rsidR="00FA04F6" w14:paraId="3CC476EE" w14:textId="77777777">
        <w:tc>
          <w:tcPr>
            <w:tcW w:w="4535" w:type="dxa"/>
          </w:tcPr>
          <w:p w14:paraId="68966D3E" w14:textId="77777777" w:rsidR="00FA04F6" w:rsidRPr="002E32AA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  <w:lang w:val="en-GB"/>
              </w:rPr>
            </w:pPr>
            <w:r w:rsidRPr="002E32AA">
              <w:rPr>
                <w:rFonts w:cs="Calibri"/>
                <w:sz w:val="24"/>
                <w:szCs w:val="24"/>
                <w:shd w:val="clear" w:color="auto" w:fill="FFFFFF"/>
                <w:lang w:val="en-GB"/>
              </w:rPr>
              <w:t xml:space="preserve">to be in line with </w:t>
            </w:r>
            <w:proofErr w:type="spellStart"/>
            <w:r w:rsidRPr="002E32AA">
              <w:rPr>
                <w:rFonts w:cs="Calibri"/>
                <w:sz w:val="24"/>
                <w:szCs w:val="24"/>
                <w:shd w:val="clear" w:color="auto" w:fill="FFFFFF"/>
                <w:lang w:val="en-GB"/>
              </w:rPr>
              <w:t>sth</w:t>
            </w:r>
            <w:proofErr w:type="spellEnd"/>
            <w:r w:rsidRPr="002E32AA">
              <w:rPr>
                <w:rFonts w:cs="Calibri"/>
                <w:sz w:val="24"/>
                <w:szCs w:val="24"/>
                <w:shd w:val="clear" w:color="auto" w:fill="FFFFFF"/>
                <w:lang w:val="en-GB"/>
              </w:rPr>
              <w:t xml:space="preserve">. </w:t>
            </w:r>
          </w:p>
        </w:tc>
        <w:tc>
          <w:tcPr>
            <w:tcW w:w="4536" w:type="dxa"/>
          </w:tcPr>
          <w:p w14:paraId="6DE9C8AD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Übereinstimmten mit..</w:t>
            </w:r>
          </w:p>
        </w:tc>
      </w:tr>
      <w:tr w:rsidR="00FA04F6" w14:paraId="509DC53B" w14:textId="77777777">
        <w:tc>
          <w:tcPr>
            <w:tcW w:w="4535" w:type="dxa"/>
          </w:tcPr>
          <w:p w14:paraId="58135975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funding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795BC4E7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Finanzierung </w:t>
            </w:r>
          </w:p>
        </w:tc>
      </w:tr>
      <w:tr w:rsidR="00FA04F6" w14:paraId="0FF81539" w14:textId="77777777">
        <w:tc>
          <w:tcPr>
            <w:tcW w:w="4535" w:type="dxa"/>
          </w:tcPr>
          <w:p w14:paraId="4FA45740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to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generate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6EB424E3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generieren</w:t>
            </w:r>
          </w:p>
        </w:tc>
      </w:tr>
      <w:tr w:rsidR="00FA04F6" w14:paraId="28CC4F81" w14:textId="77777777">
        <w:tc>
          <w:tcPr>
            <w:tcW w:w="4535" w:type="dxa"/>
          </w:tcPr>
          <w:p w14:paraId="3B52EFD1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overcast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77C70308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bewölckt</w:t>
            </w:r>
            <w:proofErr w:type="spellEnd"/>
          </w:p>
        </w:tc>
      </w:tr>
      <w:tr w:rsidR="00FA04F6" w14:paraId="7CE186A2" w14:textId="77777777">
        <w:tc>
          <w:tcPr>
            <w:tcW w:w="4535" w:type="dxa"/>
          </w:tcPr>
          <w:p w14:paraId="4112DC9C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water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vapour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0BA610DC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Wasserdampf</w:t>
            </w:r>
          </w:p>
        </w:tc>
      </w:tr>
      <w:tr w:rsidR="00FA04F6" w14:paraId="5AC55315" w14:textId="77777777">
        <w:tc>
          <w:tcPr>
            <w:tcW w:w="4535" w:type="dxa"/>
          </w:tcPr>
          <w:p w14:paraId="72F6F653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to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boost </w:t>
            </w:r>
          </w:p>
        </w:tc>
        <w:tc>
          <w:tcPr>
            <w:tcW w:w="4536" w:type="dxa"/>
          </w:tcPr>
          <w:p w14:paraId="0754C990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Fördern, </w:t>
            </w:r>
            <w:proofErr w:type="spellStart"/>
            <w:r>
              <w:rPr>
                <w:rFonts w:cs="Calibri"/>
                <w:sz w:val="24"/>
                <w:szCs w:val="24"/>
              </w:rPr>
              <w:t>Ansteigern</w:t>
            </w:r>
            <w:proofErr w:type="spellEnd"/>
            <w:r>
              <w:rPr>
                <w:rFonts w:cs="Calibri"/>
                <w:sz w:val="24"/>
                <w:szCs w:val="24"/>
              </w:rPr>
              <w:t>, Ankurbeln</w:t>
            </w:r>
          </w:p>
        </w:tc>
      </w:tr>
      <w:tr w:rsidR="00FA04F6" w14:paraId="178DDC95" w14:textId="77777777">
        <w:tc>
          <w:tcPr>
            <w:tcW w:w="4535" w:type="dxa"/>
          </w:tcPr>
          <w:p w14:paraId="5F112831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initial </w:t>
            </w:r>
          </w:p>
        </w:tc>
        <w:tc>
          <w:tcPr>
            <w:tcW w:w="4536" w:type="dxa"/>
          </w:tcPr>
          <w:p w14:paraId="303FB84B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anfänglich </w:t>
            </w:r>
          </w:p>
        </w:tc>
      </w:tr>
      <w:tr w:rsidR="00FA04F6" w14:paraId="173CB4F3" w14:textId="77777777">
        <w:tc>
          <w:tcPr>
            <w:tcW w:w="4535" w:type="dxa"/>
          </w:tcPr>
          <w:p w14:paraId="3853F09C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to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hook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up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07425828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anschließen </w:t>
            </w:r>
          </w:p>
        </w:tc>
      </w:tr>
      <w:tr w:rsidR="00FA04F6" w14:paraId="4859DB3E" w14:textId="77777777">
        <w:tc>
          <w:tcPr>
            <w:tcW w:w="4535" w:type="dxa"/>
          </w:tcPr>
          <w:p w14:paraId="0EF68D85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water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grid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239FE67C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Wassernetz</w:t>
            </w:r>
          </w:p>
        </w:tc>
      </w:tr>
      <w:tr w:rsidR="00FA04F6" w14:paraId="57C0D8FE" w14:textId="77777777">
        <w:tc>
          <w:tcPr>
            <w:tcW w:w="4535" w:type="dxa"/>
          </w:tcPr>
          <w:p w14:paraId="3A3CBC34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ewe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470CF932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Mutterschaf</w:t>
            </w:r>
          </w:p>
        </w:tc>
      </w:tr>
      <w:tr w:rsidR="00FA04F6" w14:paraId="409F2510" w14:textId="77777777">
        <w:tc>
          <w:tcPr>
            <w:tcW w:w="4535" w:type="dxa"/>
          </w:tcPr>
          <w:p w14:paraId="1C515C58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yield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78506E29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Ertrag</w:t>
            </w:r>
          </w:p>
        </w:tc>
      </w:tr>
      <w:tr w:rsidR="00FA04F6" w14:paraId="1EB4F60F" w14:textId="77777777">
        <w:tc>
          <w:tcPr>
            <w:tcW w:w="4535" w:type="dxa"/>
          </w:tcPr>
          <w:p w14:paraId="345DAE8E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water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scarcity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08FE4BF7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Wassermangel</w:t>
            </w:r>
          </w:p>
        </w:tc>
      </w:tr>
      <w:tr w:rsidR="00FA04F6" w14:paraId="3325D23B" w14:textId="77777777">
        <w:tc>
          <w:tcPr>
            <w:tcW w:w="4535" w:type="dxa"/>
          </w:tcPr>
          <w:p w14:paraId="1F506130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cut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69AD29B4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Schnitt</w:t>
            </w:r>
          </w:p>
        </w:tc>
      </w:tr>
      <w:tr w:rsidR="00FA04F6" w14:paraId="62E9A31C" w14:textId="77777777">
        <w:tc>
          <w:tcPr>
            <w:tcW w:w="4535" w:type="dxa"/>
          </w:tcPr>
          <w:p w14:paraId="4CFEF43B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negligible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6BEC4A41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unbedeutend</w:t>
            </w:r>
          </w:p>
        </w:tc>
      </w:tr>
      <w:tr w:rsidR="00FA04F6" w14:paraId="4E3FD57E" w14:textId="77777777">
        <w:tc>
          <w:tcPr>
            <w:tcW w:w="4535" w:type="dxa"/>
          </w:tcPr>
          <w:p w14:paraId="382360FC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surplus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404C6808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Überschuss</w:t>
            </w:r>
          </w:p>
        </w:tc>
      </w:tr>
      <w:tr w:rsidR="00FA04F6" w14:paraId="2A09BD5D" w14:textId="77777777">
        <w:tc>
          <w:tcPr>
            <w:tcW w:w="4535" w:type="dxa"/>
          </w:tcPr>
          <w:p w14:paraId="01EE33C5" w14:textId="77777777" w:rsidR="00FA04F6" w:rsidRDefault="003676CD">
            <w:pPr>
              <w:pStyle w:val="Textkrper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to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shd w:val="clear" w:color="auto" w:fill="FFFFFF"/>
              </w:rPr>
              <w:t>supply</w:t>
            </w:r>
            <w:proofErr w:type="spellEnd"/>
            <w:r>
              <w:rPr>
                <w:rFonts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14:paraId="2A44BCBF" w14:textId="77777777" w:rsidR="00FA04F6" w:rsidRDefault="003676CD">
            <w:pPr>
              <w:pStyle w:val="TableContents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Zu Versorgen</w:t>
            </w:r>
          </w:p>
        </w:tc>
      </w:tr>
    </w:tbl>
    <w:p w14:paraId="52B25853" w14:textId="77777777" w:rsidR="00FA04F6" w:rsidRDefault="00FA04F6">
      <w:pPr>
        <w:spacing w:after="0" w:line="300" w:lineRule="atLeast"/>
        <w:rPr>
          <w:rFonts w:cstheme="minorHAnsi"/>
          <w:sz w:val="24"/>
          <w:szCs w:val="24"/>
          <w:lang w:val="en-GB"/>
        </w:rPr>
      </w:pPr>
    </w:p>
    <w:p w14:paraId="70C1E645" w14:textId="77777777" w:rsidR="002E32AA" w:rsidRDefault="002E32AA">
      <w:pPr>
        <w:spacing w:after="0" w:line="300" w:lineRule="atLeast"/>
        <w:rPr>
          <w:rFonts w:cstheme="minorHAnsi"/>
          <w:sz w:val="24"/>
          <w:szCs w:val="24"/>
          <w:lang w:val="en-GB"/>
        </w:rPr>
      </w:pPr>
    </w:p>
    <w:sectPr w:rsidR="002E32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38B8" w14:textId="77777777" w:rsidR="00147469" w:rsidRDefault="00147469">
      <w:pPr>
        <w:spacing w:after="0" w:line="240" w:lineRule="auto"/>
      </w:pPr>
      <w:r>
        <w:separator/>
      </w:r>
    </w:p>
  </w:endnote>
  <w:endnote w:type="continuationSeparator" w:id="0">
    <w:p w14:paraId="39ACDCA3" w14:textId="77777777" w:rsidR="00147469" w:rsidRDefault="0014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B29B" w14:textId="77777777" w:rsidR="00FA04F6" w:rsidRDefault="00FA04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A25C" w14:textId="77777777" w:rsidR="00FA04F6" w:rsidRDefault="00FA04F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460B" w14:textId="77777777" w:rsidR="00FA04F6" w:rsidRDefault="00FA04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5266" w14:textId="77777777" w:rsidR="00147469" w:rsidRDefault="00147469">
      <w:pPr>
        <w:spacing w:after="0" w:line="240" w:lineRule="auto"/>
      </w:pPr>
      <w:r>
        <w:separator/>
      </w:r>
    </w:p>
  </w:footnote>
  <w:footnote w:type="continuationSeparator" w:id="0">
    <w:p w14:paraId="4941E61B" w14:textId="77777777" w:rsidR="00147469" w:rsidRDefault="0014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F495" w14:textId="77777777" w:rsidR="00FA04F6" w:rsidRDefault="00FA04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5371" w14:textId="77777777" w:rsidR="00FA04F6" w:rsidRDefault="003676CD">
    <w:pPr>
      <w:pStyle w:val="Kopfzeile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Stevan Vlajic </w:t>
    </w:r>
    <w:r>
      <w:rPr>
        <w:sz w:val="18"/>
        <w:szCs w:val="18"/>
        <w:lang w:val="en-US"/>
      </w:rPr>
      <w:tab/>
      <w:t>3ahitm</w:t>
    </w:r>
    <w:r>
      <w:rPr>
        <w:sz w:val="18"/>
        <w:szCs w:val="18"/>
        <w:lang w:val="en-US"/>
      </w:rPr>
      <w:tab/>
      <w:t>01.10.2023</w:t>
    </w:r>
    <w:r>
      <w:rPr>
        <w:sz w:val="18"/>
        <w:szCs w:val="18"/>
        <w:lang w:val="en-US"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DD7F" w14:textId="77777777" w:rsidR="00FA04F6" w:rsidRDefault="003676CD">
    <w:pPr>
      <w:pStyle w:val="Kopfzeile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Stevan Vlajic </w:t>
    </w:r>
    <w:r>
      <w:rPr>
        <w:sz w:val="18"/>
        <w:szCs w:val="18"/>
        <w:lang w:val="en-US"/>
      </w:rPr>
      <w:tab/>
      <w:t>3ahitm</w:t>
    </w:r>
    <w:r>
      <w:rPr>
        <w:sz w:val="18"/>
        <w:szCs w:val="18"/>
        <w:lang w:val="en-US"/>
      </w:rPr>
      <w:tab/>
      <w:t>01.10.2023</w:t>
    </w:r>
    <w:r>
      <w:rPr>
        <w:sz w:val="18"/>
        <w:szCs w:val="18"/>
        <w:lang w:val="en-US"/>
      </w:rPr>
      <w:softHyphen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4F6"/>
    <w:rsid w:val="00033F93"/>
    <w:rsid w:val="00147469"/>
    <w:rsid w:val="002E32AA"/>
    <w:rsid w:val="003676CD"/>
    <w:rsid w:val="00FA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A7E4"/>
  <w15:docId w15:val="{0C958686-DE18-4F52-B3C5-CDBAA923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link w:val="berschrift1Zchn"/>
    <w:uiPriority w:val="9"/>
    <w:qFormat/>
    <w:rsid w:val="0087058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54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AE5479"/>
    <w:rPr>
      <w:color w:val="605E5C"/>
      <w:shd w:val="clear" w:color="auto" w:fill="E1DFDD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E5479"/>
  </w:style>
  <w:style w:type="character" w:customStyle="1" w:styleId="FuzeileZchn">
    <w:name w:val="Fußzeile Zchn"/>
    <w:basedOn w:val="Absatz-Standardschriftart"/>
    <w:link w:val="Fuzeile"/>
    <w:uiPriority w:val="99"/>
    <w:qFormat/>
    <w:rsid w:val="00AE5479"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87058D"/>
    <w:rPr>
      <w:rFonts w:ascii="Times New Roman" w:eastAsia="Times New Roman" w:hAnsi="Times New Roman" w:cs="Times New Roman"/>
      <w:b/>
      <w:bCs/>
      <w:kern w:val="2"/>
      <w:sz w:val="48"/>
      <w:szCs w:val="48"/>
      <w:lang w:eastAsia="de-AT"/>
    </w:rPr>
  </w:style>
  <w:style w:type="character" w:customStyle="1" w:styleId="def">
    <w:name w:val="def"/>
    <w:basedOn w:val="Absatz-Standardschriftart"/>
    <w:qFormat/>
    <w:rsid w:val="00CB1941"/>
  </w:style>
  <w:style w:type="character" w:styleId="BesuchterLink">
    <w:name w:val="FollowedHyperlink"/>
    <w:basedOn w:val="Absatz-Standardschriftart"/>
    <w:uiPriority w:val="99"/>
    <w:semiHidden/>
    <w:unhideWhenUsed/>
    <w:rsid w:val="0071465A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AE5479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E5479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52A01"/>
    <w:pPr>
      <w:ind w:left="720"/>
      <w:contextualSpacing/>
    </w:p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CF5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Props1.xml><?xml version="1.0" encoding="utf-8"?>
<ds:datastoreItem xmlns:ds="http://schemas.openxmlformats.org/officeDocument/2006/customXml" ds:itemID="{6D701968-BABB-4FE2-98F4-AC22C730D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5C70A-2E03-4DAA-9828-58828B004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88ee3-92d6-4824-8748-736d4df36027"/>
    <ds:schemaRef ds:uri="5a708b47-b02d-4262-ad52-6dedbd3f2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B2BEFF-7A02-4BD7-8DBC-085C4D2FFA06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Stevan Vlajic</cp:lastModifiedBy>
  <cp:revision>2</cp:revision>
  <dcterms:created xsi:type="dcterms:W3CDTF">2022-05-07T11:25:00Z</dcterms:created>
  <dcterms:modified xsi:type="dcterms:W3CDTF">2023-10-13T09:04:00Z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