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000" w:after="200"/>
        <w:rPr>
          <w:rFonts w:ascii="Times New Roman" w:hAnsi="Times New Roman"/>
          <w:sz w:val="26"/>
          <w:szCs w:val="26"/>
        </w:rPr>
      </w:pPr>
      <w:r>
        <w:rPr>
          <w:rFonts w:ascii="Times New Roman" w:hAnsi="Times New Roman"/>
          <w:sz w:val="26"/>
          <w:szCs w:val="26"/>
        </w:rPr>
      </w:r>
    </w:p>
    <w:p>
      <w:pPr>
        <w:pStyle w:val="Normal"/>
        <w:jc w:val="center"/>
        <w:rPr>
          <w:rFonts w:ascii="Times New Roman" w:hAnsi="Times New Roman"/>
          <w:sz w:val="26"/>
          <w:szCs w:val="26"/>
        </w:rPr>
      </w:pPr>
      <w:r>
        <w:rPr>
          <w:rFonts w:eastAsia="Arial" w:cs="Arial" w:ascii="Times New Roman" w:hAnsi="Times New Roman"/>
          <w:b/>
          <w:bCs/>
          <w:color w:val="1F3864"/>
          <w:sz w:val="26"/>
          <w:szCs w:val="26"/>
        </w:rPr>
        <w:t>BUSINESS REPORT</w:t>
      </w:r>
    </w:p>
    <w:p>
      <w:pPr>
        <w:pStyle w:val="Normal"/>
        <w:spacing w:before="100" w:after="100"/>
        <w:rPr>
          <w:rFonts w:ascii="Times New Roman" w:hAnsi="Times New Roman"/>
          <w:sz w:val="26"/>
          <w:szCs w:val="26"/>
        </w:rPr>
      </w:pPr>
      <w:r>
        <w:rPr>
          <w:rFonts w:ascii="Times New Roman" w:hAnsi="Times New Roman"/>
          <w:sz w:val="26"/>
          <w:szCs w:val="26"/>
        </w:rPr>
      </w:r>
    </w:p>
    <w:p>
      <w:pPr>
        <w:pStyle w:val="Normal"/>
        <w:jc w:val="center"/>
        <w:rPr>
          <w:rFonts w:ascii="Times New Roman" w:hAnsi="Times New Roman"/>
          <w:sz w:val="26"/>
          <w:szCs w:val="26"/>
        </w:rPr>
      </w:pPr>
      <w:r>
        <w:rPr>
          <w:rFonts w:eastAsia="Arial" w:cs="Arial" w:ascii="Times New Roman" w:hAnsi="Times New Roman"/>
          <w:b/>
          <w:bCs/>
          <w:color w:val="2E75B6"/>
          <w:sz w:val="26"/>
          <w:szCs w:val="26"/>
        </w:rPr>
        <w:t>Insurance Claims Fraud Detection</w:t>
      </w:r>
    </w:p>
    <w:p>
      <w:pPr>
        <w:pStyle w:val="Normal"/>
        <w:jc w:val="center"/>
        <w:rPr>
          <w:rFonts w:eastAsia="Arial" w:cs="Arial"/>
          <w:b/>
          <w:b/>
          <w:bCs/>
          <w:color w:val="2E75B6"/>
        </w:rPr>
      </w:pPr>
      <w:r>
        <w:rPr>
          <w:rFonts w:ascii="Times New Roman" w:hAnsi="Times New Roman"/>
          <w:sz w:val="26"/>
          <w:szCs w:val="26"/>
        </w:rPr>
      </w:r>
    </w:p>
    <w:p>
      <w:pPr>
        <w:pStyle w:val="Normal"/>
        <w:jc w:val="center"/>
        <w:rPr>
          <w:rFonts w:eastAsia="Arial" w:cs="Arial"/>
          <w:b/>
          <w:b/>
          <w:bCs/>
          <w:color w:val="2E75B6"/>
        </w:rPr>
      </w:pPr>
      <w:r>
        <w:rPr>
          <w:rFonts w:ascii="Times New Roman" w:hAnsi="Times New Roman"/>
          <w:sz w:val="26"/>
          <w:szCs w:val="26"/>
        </w:rPr>
      </w:r>
    </w:p>
    <w:p>
      <w:pPr>
        <w:pStyle w:val="Normal"/>
        <w:jc w:val="center"/>
        <w:rPr>
          <w:rFonts w:ascii="Times New Roman" w:hAnsi="Times New Roman"/>
          <w:sz w:val="26"/>
          <w:szCs w:val="26"/>
        </w:rPr>
      </w:pPr>
      <w:r>
        <w:rPr>
          <w:rFonts w:eastAsia="Arial" w:cs="Arial" w:ascii="Times New Roman" w:hAnsi="Times New Roman"/>
          <w:i/>
          <w:iCs/>
          <w:color w:val="595959"/>
          <w:sz w:val="26"/>
          <w:szCs w:val="26"/>
        </w:rPr>
        <w:t>Machine Learning-Based Fraud Identification System</w:t>
      </w:r>
    </w:p>
    <w:p>
      <w:pPr>
        <w:pStyle w:val="Normal"/>
        <w:spacing w:before="600" w:after="100"/>
        <w:rPr>
          <w:rFonts w:ascii="Times New Roman" w:hAnsi="Times New Roman"/>
          <w:sz w:val="26"/>
          <w:szCs w:val="26"/>
        </w:rPr>
      </w:pPr>
      <w:r>
        <w:rPr>
          <w:rFonts w:ascii="Times New Roman" w:hAnsi="Times New Roman"/>
          <w:sz w:val="26"/>
          <w:szCs w:val="26"/>
        </w:rPr>
      </w:r>
    </w:p>
    <w:p>
      <w:pPr>
        <w:pStyle w:val="Normal"/>
        <w:jc w:val="center"/>
        <w:rPr>
          <w:rFonts w:ascii="Times New Roman" w:hAnsi="Times New Roman"/>
          <w:sz w:val="26"/>
          <w:szCs w:val="26"/>
        </w:rPr>
      </w:pPr>
      <w:r>
        <w:rPr>
          <w:rFonts w:eastAsia="Arial" w:cs="Arial" w:ascii="Times New Roman" w:hAnsi="Times New Roman"/>
          <w:b/>
          <w:bCs/>
          <w:color w:val="1F3864"/>
          <w:sz w:val="26"/>
          <w:szCs w:val="26"/>
        </w:rPr>
        <w:t>Prepared by: Steve</w:t>
      </w:r>
    </w:p>
    <w:p>
      <w:pPr>
        <w:pStyle w:val="Normal"/>
        <w:jc w:val="center"/>
        <w:rPr>
          <w:rFonts w:ascii="Times New Roman" w:hAnsi="Times New Roman"/>
          <w:sz w:val="26"/>
          <w:szCs w:val="26"/>
        </w:rPr>
      </w:pPr>
      <w:r>
        <w:rPr>
          <w:rFonts w:eastAsia="Arial" w:cs="Arial" w:ascii="Times New Roman" w:hAnsi="Times New Roman"/>
          <w:color w:val="595959"/>
          <w:sz w:val="26"/>
          <w:szCs w:val="26"/>
        </w:rPr>
        <w:t>Date: January 31, 2026</w:t>
      </w:r>
    </w:p>
    <w:p>
      <w:pPr>
        <w:pStyle w:val="Normal"/>
        <w:jc w:val="center"/>
        <w:rPr>
          <w:rFonts w:eastAsia="Arial" w:cs="Arial"/>
          <w:color w:val="595959"/>
        </w:rPr>
      </w:pPr>
      <w:r>
        <w:rPr>
          <w:rFonts w:ascii="Times New Roman" w:hAnsi="Times New Roman"/>
          <w:sz w:val="26"/>
          <w:szCs w:val="26"/>
        </w:rPr>
      </w:r>
      <w:r>
        <w:br w:type="page"/>
      </w:r>
    </w:p>
    <w:p>
      <w:pPr>
        <w:pStyle w:val="Heading1"/>
        <w:spacing w:before="360" w:after="120"/>
        <w:rPr>
          <w:b/>
          <w:b/>
          <w:bCs/>
        </w:rPr>
      </w:pPr>
      <w:r>
        <w:rPr>
          <w:rFonts w:eastAsia="Arial" w:cs="Arial" w:ascii="Times New Roman" w:hAnsi="Times New Roman"/>
          <w:b/>
          <w:bCs/>
          <w:color w:val="1F3864"/>
          <w:sz w:val="26"/>
          <w:szCs w:val="26"/>
          <w:shd w:fill="auto" w:val="clear"/>
        </w:rPr>
        <w:t>1. Summary</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 xml:space="preserve">This report presents the findings and outcomes of a machine learning </w:t>
      </w:r>
      <w:r>
        <w:rPr>
          <w:rFonts w:eastAsia="Arial" w:cs="Arial" w:ascii="Times New Roman" w:hAnsi="Times New Roman"/>
          <w:color w:val="000000"/>
          <w:sz w:val="26"/>
          <w:szCs w:val="26"/>
        </w:rPr>
        <w:t>model</w:t>
      </w:r>
      <w:r>
        <w:rPr>
          <w:rFonts w:eastAsia="Arial" w:cs="Arial" w:ascii="Times New Roman" w:hAnsi="Times New Roman"/>
          <w:color w:val="000000"/>
          <w:sz w:val="26"/>
          <w:szCs w:val="26"/>
        </w:rPr>
        <w:t xml:space="preserve"> aimed at detecting fraudulent insurance claims. Insurance fraud represents a significant financial burden on the industry, costing companies and ultimately policyholders billions of dollars annually. This project leverages advanced predictive modelling techniques to automate and improve the identification of suspicious claims.</w:t>
      </w:r>
    </w:p>
    <w:p>
      <w:pPr>
        <w:pStyle w:val="Normal"/>
        <w:spacing w:before="100" w:after="100"/>
        <w:rPr>
          <w:rFonts w:ascii="Times New Roman" w:hAnsi="Times New Roman"/>
          <w:sz w:val="26"/>
          <w:szCs w:val="26"/>
        </w:rPr>
      </w:pPr>
      <w:r>
        <w:rPr>
          <w:rFonts w:ascii="Times New Roman" w:hAnsi="Times New Roman"/>
          <w:sz w:val="26"/>
          <w:szCs w:val="26"/>
        </w:rPr>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Using a dataset of 1,000 insurance claims, the project evaluated seven machine learning algorithms under a rigorous pipeline encompassing data preprocessing, class imbalance correction, hyperparameter optimisation, and performance benchmarking. The AdaBoost classifier was selected as the final model, achieving a test accuracy of 81% and an estimated ROC-AUC of 0.825, demonstrating strong overall discriminatory performance.</w:t>
      </w:r>
    </w:p>
    <w:p>
      <w:pPr>
        <w:pStyle w:val="Normal"/>
        <w:spacing w:before="100" w:after="100"/>
        <w:rPr>
          <w:rFonts w:ascii="Times New Roman" w:hAnsi="Times New Roman"/>
          <w:sz w:val="26"/>
          <w:szCs w:val="26"/>
        </w:rPr>
      </w:pPr>
      <w:r>
        <w:rPr>
          <w:rFonts w:ascii="Times New Roman" w:hAnsi="Times New Roman"/>
          <w:sz w:val="26"/>
          <w:szCs w:val="26"/>
        </w:rPr>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Key outcomes include:</w:t>
      </w:r>
    </w:p>
    <w:p>
      <w:pPr>
        <w:pStyle w:val="ListParagraph"/>
        <w:numPr>
          <w:ilvl w:val="0"/>
          <w:numId w:val="3"/>
        </w:numPr>
        <w:spacing w:before="60" w:after="60"/>
        <w:rPr>
          <w:rFonts w:ascii="Times New Roman" w:hAnsi="Times New Roman"/>
          <w:sz w:val="26"/>
          <w:szCs w:val="26"/>
        </w:rPr>
      </w:pPr>
      <w:r>
        <w:rPr>
          <w:rFonts w:eastAsia="Arial" w:cs="Arial" w:ascii="Times New Roman" w:hAnsi="Times New Roman"/>
          <w:sz w:val="26"/>
          <w:szCs w:val="26"/>
        </w:rPr>
        <w:t>A deployable fraud detection pipeline capable of classifying new claims as fraudulent or legitimate in real time.</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 risk-tiered scoring system (Low / Medium / High) to prioritise investigator workloads.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 73.5% recall rate on fraudulent claims, meaning the model correctly flags nearly three-quarters of all fraud cases.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 serialised model artefact ready for integration into existing claims management systems.</w:t>
      </w:r>
    </w:p>
    <w:p>
      <w:pPr>
        <w:pStyle w:val="Normal"/>
        <w:spacing w:before="200" w:after="10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120" w:type="dxa"/>
          <w:left w:w="160" w:type="dxa"/>
          <w:bottom w:w="120" w:type="dxa"/>
          <w:right w:w="16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E8F4FD"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75B6"/>
                <w:sz w:val="26"/>
                <w:szCs w:val="26"/>
              </w:rPr>
              <w:t>1,000</w:t>
            </w:r>
          </w:p>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Dataset Size</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insurance claims</w:t>
            </w:r>
          </w:p>
        </w:tc>
        <w:tc>
          <w:tcPr>
            <w:tcW w:w="2340" w:type="dxa"/>
            <w:tcBorders>
              <w:top w:val="single" w:sz="2" w:space="0" w:color="CCCCCC"/>
              <w:left w:val="single" w:sz="2" w:space="0" w:color="CCCCCC"/>
              <w:bottom w:val="single" w:sz="2" w:space="0" w:color="CCCCCC"/>
              <w:right w:val="single" w:sz="2" w:space="0" w:color="CCCCCC"/>
            </w:tcBorders>
            <w:shd w:fill="E8F4FD"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75B6"/>
                <w:sz w:val="26"/>
                <w:szCs w:val="26"/>
              </w:rPr>
              <w:t>24</w:t>
            </w:r>
          </w:p>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Features Used</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after engineering</w:t>
            </w:r>
          </w:p>
        </w:tc>
        <w:tc>
          <w:tcPr>
            <w:tcW w:w="2340" w:type="dxa"/>
            <w:tcBorders>
              <w:top w:val="single" w:sz="2" w:space="0" w:color="CCCCCC"/>
              <w:left w:val="single" w:sz="2" w:space="0" w:color="CCCCCC"/>
              <w:bottom w:val="single" w:sz="2" w:space="0" w:color="CCCCCC"/>
              <w:right w:val="single" w:sz="2" w:space="0" w:color="CCCCCC"/>
            </w:tcBorders>
            <w:shd w:fill="E8F4FD"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75B6"/>
                <w:sz w:val="26"/>
                <w:szCs w:val="26"/>
              </w:rPr>
              <w:t>24.7%</w:t>
            </w:r>
          </w:p>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Fraud Prevalence</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247 fraud cases</w:t>
            </w:r>
          </w:p>
        </w:tc>
        <w:tc>
          <w:tcPr>
            <w:tcW w:w="2339" w:type="dxa"/>
            <w:tcBorders>
              <w:top w:val="single" w:sz="2" w:space="0" w:color="CCCCCC"/>
              <w:left w:val="single" w:sz="2" w:space="0" w:color="CCCCCC"/>
              <w:bottom w:val="single" w:sz="2" w:space="0" w:color="CCCCCC"/>
              <w:right w:val="single" w:sz="2" w:space="0" w:color="CCCCCC"/>
            </w:tcBorders>
            <w:shd w:fill="E8F4FD"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75B6"/>
                <w:sz w:val="26"/>
                <w:szCs w:val="26"/>
              </w:rPr>
              <w:t>7</w:t>
            </w:r>
          </w:p>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Models Evaluated</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algorithms tested</w:t>
            </w:r>
          </w:p>
        </w:tc>
      </w:tr>
      <w:tr>
        <w:trPr/>
        <w:tc>
          <w:tcPr>
            <w:tcW w:w="2340" w:type="dxa"/>
            <w:tcBorders>
              <w:top w:val="single" w:sz="2" w:space="0" w:color="CCCCCC"/>
              <w:left w:val="single" w:sz="2" w:space="0" w:color="CCCCCC"/>
              <w:bottom w:val="single" w:sz="2" w:space="0" w:color="CCCCCC"/>
              <w:right w:val="single" w:sz="2" w:space="0" w:color="CCCCCC"/>
            </w:tcBorders>
            <w:shd w:fill="E8F4FD"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75B6"/>
                <w:sz w:val="26"/>
                <w:szCs w:val="26"/>
              </w:rPr>
              <w:t>81.0%</w:t>
            </w:r>
          </w:p>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Test Accuracy</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AdaBoost final model</w:t>
            </w:r>
          </w:p>
        </w:tc>
        <w:tc>
          <w:tcPr>
            <w:tcW w:w="2340" w:type="dxa"/>
            <w:tcBorders>
              <w:top w:val="single" w:sz="2" w:space="0" w:color="CCCCCC"/>
              <w:left w:val="single" w:sz="2" w:space="0" w:color="CCCCCC"/>
              <w:bottom w:val="single" w:sz="2" w:space="0" w:color="CCCCCC"/>
              <w:right w:val="single" w:sz="2" w:space="0" w:color="CCCCCC"/>
            </w:tcBorders>
            <w:shd w:fill="E8F4FD"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75B6"/>
                <w:sz w:val="26"/>
                <w:szCs w:val="26"/>
              </w:rPr>
              <w:t>73.5%</w:t>
            </w:r>
          </w:p>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Fraud Recall</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true positive rate</w:t>
            </w:r>
          </w:p>
        </w:tc>
        <w:tc>
          <w:tcPr>
            <w:tcW w:w="2340" w:type="dxa"/>
            <w:tcBorders>
              <w:top w:val="single" w:sz="2" w:space="0" w:color="CCCCCC"/>
              <w:left w:val="single" w:sz="2" w:space="0" w:color="CCCCCC"/>
              <w:bottom w:val="single" w:sz="2" w:space="0" w:color="CCCCCC"/>
              <w:right w:val="single" w:sz="2" w:space="0" w:color="CCCCCC"/>
            </w:tcBorders>
            <w:shd w:fill="E8F4FD"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75B6"/>
                <w:sz w:val="26"/>
                <w:szCs w:val="26"/>
              </w:rPr>
              <w:t>0.825</w:t>
            </w:r>
          </w:p>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ROC-AUC</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area under curve</w:t>
            </w:r>
          </w:p>
        </w:tc>
        <w:tc>
          <w:tcPr>
            <w:tcW w:w="2339" w:type="dxa"/>
            <w:tcBorders>
              <w:top w:val="single" w:sz="2" w:space="0" w:color="CCCCCC"/>
              <w:left w:val="single" w:sz="2" w:space="0" w:color="CCCCCC"/>
              <w:bottom w:val="single" w:sz="2" w:space="0" w:color="CCCCCC"/>
              <w:right w:val="single" w:sz="2" w:space="0" w:color="CCCCCC"/>
            </w:tcBorders>
            <w:shd w:fill="E8F4FD" w:val="clear"/>
            <w:vAlign w:val="center"/>
          </w:tcPr>
          <w:p>
            <w:pPr>
              <w:pStyle w:val="Normal"/>
              <w:widowControl w:val="false"/>
              <w:jc w:val="center"/>
              <w:rPr>
                <w:rFonts w:ascii="Times New Roman" w:hAnsi="Times New Roman"/>
                <w:sz w:val="26"/>
                <w:szCs w:val="26"/>
              </w:rPr>
            </w:pPr>
            <w:r>
              <w:rPr>
                <w:rFonts w:eastAsia="Arial" w:cs="Arial" w:ascii="Times New Roman" w:hAnsi="Times New Roman"/>
                <w:b/>
                <w:bCs/>
                <w:color w:val="2E75B6"/>
                <w:sz w:val="26"/>
                <w:szCs w:val="26"/>
              </w:rPr>
              <w:t>26.5%</w:t>
            </w:r>
          </w:p>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False Negative Rate</w:t>
            </w:r>
          </w:p>
          <w:p>
            <w:pPr>
              <w:pStyle w:val="Normal"/>
              <w:widowControl w:val="false"/>
              <w:jc w:val="center"/>
              <w:rPr>
                <w:rFonts w:ascii="Times New Roman" w:hAnsi="Times New Roman"/>
                <w:sz w:val="26"/>
                <w:szCs w:val="26"/>
              </w:rPr>
            </w:pPr>
            <w:r>
              <w:rPr>
                <w:rFonts w:eastAsia="Arial" w:cs="Arial" w:ascii="Times New Roman" w:hAnsi="Times New Roman"/>
                <w:i/>
                <w:iCs/>
                <w:color w:val="595959"/>
                <w:sz w:val="26"/>
                <w:szCs w:val="26"/>
              </w:rPr>
              <w:t>missed fraud cases</w:t>
            </w:r>
          </w:p>
        </w:tc>
      </w:tr>
    </w:tbl>
    <w:p>
      <w:pPr>
        <w:pStyle w:val="Normal"/>
        <w:rPr>
          <w:rFonts w:ascii="Times New Roman" w:hAnsi="Times New Roman"/>
          <w:sz w:val="26"/>
          <w:szCs w:val="26"/>
        </w:rPr>
      </w:pPr>
      <w:r>
        <w:rPr>
          <w:rFonts w:ascii="Times New Roman" w:hAnsi="Times New Roman"/>
          <w:sz w:val="26"/>
          <w:szCs w:val="26"/>
        </w:rPr>
      </w:r>
      <w:r>
        <w:br w:type="page"/>
      </w:r>
    </w:p>
    <w:p>
      <w:pPr>
        <w:pStyle w:val="Heading1"/>
        <w:spacing w:before="360" w:after="120"/>
        <w:rPr>
          <w:rFonts w:ascii="Times New Roman" w:hAnsi="Times New Roman"/>
          <w:sz w:val="26"/>
          <w:szCs w:val="26"/>
        </w:rPr>
      </w:pPr>
      <w:r>
        <w:rPr>
          <w:rFonts w:eastAsia="Arial" w:cs="Arial" w:ascii="Times New Roman" w:hAnsi="Times New Roman"/>
          <w:b/>
          <w:bCs/>
          <w:color w:val="1F3864"/>
          <w:sz w:val="26"/>
          <w:szCs w:val="26"/>
        </w:rPr>
        <w:t>2. Project Background &amp; Objectives</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Insurance fraud occurs when a claimant intentionally misrepresents or fabricates a claim to receive financial compensation they are not entitled to. Common fraud types include staged accidents, inflated claim amounts, false theft reports, and fictitious injuries. Industry estimates suggest that fraudulent claims add between 10% and 20% to insurance costs, ultimately borne by honest policyholders through elevated premiums.</w:t>
      </w:r>
    </w:p>
    <w:p>
      <w:pPr>
        <w:pStyle w:val="Normal"/>
        <w:spacing w:before="100" w:after="10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2.1 Objectives</w:t>
      </w:r>
    </w:p>
    <w:p>
      <w:pPr>
        <w:pStyle w:val="ListParagraph"/>
        <w:numPr>
          <w:ilvl w:val="0"/>
          <w:numId w:val="0"/>
        </w:numPr>
        <w:spacing w:before="60" w:after="60"/>
        <w:ind w:left="720" w:hanging="0"/>
        <w:rPr>
          <w:rFonts w:ascii="Times New Roman" w:hAnsi="Times New Roman"/>
          <w:sz w:val="26"/>
          <w:szCs w:val="26"/>
        </w:rPr>
      </w:pPr>
      <w:r>
        <w:rPr>
          <w:rFonts w:eastAsia="Arial" w:cs="Arial" w:ascii="Times New Roman" w:hAnsi="Times New Roman"/>
          <w:sz w:val="26"/>
          <w:szCs w:val="26"/>
        </w:rPr>
        <w:t>1.</w:t>
      </w:r>
      <w:r>
        <w:rPr>
          <w:rFonts w:eastAsia="Arial" w:cs="Arial" w:ascii="Times New Roman" w:hAnsi="Times New Roman"/>
          <w:sz w:val="26"/>
          <w:szCs w:val="26"/>
        </w:rPr>
        <w:t>Develop a supervised machine learning model to classify insurance claims as fraudulent or legitimate.</w:t>
      </w:r>
    </w:p>
    <w:p>
      <w:pPr>
        <w:pStyle w:val="ListParagraph"/>
        <w:numPr>
          <w:ilvl w:val="0"/>
          <w:numId w:val="0"/>
        </w:numPr>
        <w:spacing w:before="60" w:after="60"/>
        <w:ind w:left="720" w:hanging="0"/>
        <w:rPr>
          <w:rFonts w:ascii="Times New Roman" w:hAnsi="Times New Roman"/>
          <w:sz w:val="26"/>
          <w:szCs w:val="26"/>
        </w:rPr>
      </w:pPr>
      <w:r>
        <w:rPr>
          <w:rFonts w:eastAsia="Arial" w:cs="Arial" w:ascii="Times New Roman" w:hAnsi="Times New Roman"/>
          <w:sz w:val="26"/>
          <w:szCs w:val="26"/>
        </w:rPr>
        <w:t>2.</w:t>
      </w:r>
      <w:r>
        <w:rPr>
          <w:rFonts w:eastAsia="Arial" w:cs="Arial" w:ascii="Times New Roman" w:hAnsi="Times New Roman"/>
          <w:sz w:val="26"/>
          <w:szCs w:val="26"/>
        </w:rPr>
        <w:t>Identify the most predictive features associated with fraudulent behaviour.</w:t>
      </w:r>
    </w:p>
    <w:p>
      <w:pPr>
        <w:pStyle w:val="ListParagraph"/>
        <w:numPr>
          <w:ilvl w:val="0"/>
          <w:numId w:val="0"/>
        </w:numPr>
        <w:spacing w:before="60" w:after="60"/>
        <w:ind w:left="720" w:hanging="0"/>
        <w:rPr>
          <w:rFonts w:ascii="Times New Roman" w:hAnsi="Times New Roman"/>
          <w:sz w:val="26"/>
          <w:szCs w:val="26"/>
        </w:rPr>
      </w:pPr>
      <w:r>
        <w:rPr>
          <w:rFonts w:eastAsia="Arial" w:cs="Arial" w:ascii="Times New Roman" w:hAnsi="Times New Roman"/>
          <w:sz w:val="26"/>
          <w:szCs w:val="26"/>
        </w:rPr>
        <w:t>3.</w:t>
      </w:r>
      <w:r>
        <w:rPr>
          <w:rFonts w:eastAsia="Arial" w:cs="Arial" w:ascii="Times New Roman" w:hAnsi="Times New Roman"/>
          <w:sz w:val="26"/>
          <w:szCs w:val="26"/>
        </w:rPr>
        <w:t>Benchmark multiple classification algorithms to determine the best-performing approach.</w:t>
      </w:r>
    </w:p>
    <w:p>
      <w:pPr>
        <w:pStyle w:val="ListParagraph"/>
        <w:numPr>
          <w:ilvl w:val="0"/>
          <w:numId w:val="0"/>
        </w:numPr>
        <w:spacing w:before="60" w:after="60"/>
        <w:ind w:left="720" w:hanging="0"/>
        <w:rPr>
          <w:rFonts w:ascii="Times New Roman" w:hAnsi="Times New Roman"/>
          <w:sz w:val="26"/>
          <w:szCs w:val="26"/>
        </w:rPr>
      </w:pPr>
      <w:r>
        <w:rPr>
          <w:rFonts w:eastAsia="Arial" w:cs="Arial" w:ascii="Times New Roman" w:hAnsi="Times New Roman"/>
          <w:sz w:val="26"/>
          <w:szCs w:val="26"/>
        </w:rPr>
        <w:t>4.</w:t>
      </w:r>
      <w:r>
        <w:rPr>
          <w:rFonts w:eastAsia="Arial" w:cs="Arial" w:ascii="Times New Roman" w:hAnsi="Times New Roman"/>
          <w:sz w:val="26"/>
          <w:szCs w:val="26"/>
        </w:rPr>
        <w:t>Deliver a production-ready, serialised model pipeline with real-time prediction capability.</w:t>
      </w:r>
    </w:p>
    <w:p>
      <w:pPr>
        <w:pStyle w:val="ListParagraph"/>
        <w:numPr>
          <w:ilvl w:val="0"/>
          <w:numId w:val="0"/>
        </w:numPr>
        <w:spacing w:before="60" w:after="60"/>
        <w:ind w:left="720" w:hanging="0"/>
        <w:rPr>
          <w:rFonts w:ascii="Times New Roman" w:hAnsi="Times New Roman"/>
          <w:sz w:val="26"/>
          <w:szCs w:val="26"/>
        </w:rPr>
      </w:pPr>
      <w:r>
        <w:rPr>
          <w:rFonts w:eastAsia="Arial" w:cs="Arial" w:ascii="Times New Roman" w:hAnsi="Times New Roman"/>
          <w:sz w:val="26"/>
          <w:szCs w:val="26"/>
        </w:rPr>
        <w:t>5.</w:t>
      </w:r>
      <w:r>
        <w:rPr>
          <w:rFonts w:eastAsia="Arial" w:cs="Arial" w:ascii="Times New Roman" w:hAnsi="Times New Roman"/>
          <w:sz w:val="26"/>
          <w:szCs w:val="26"/>
        </w:rPr>
        <w:t>Provide a risk-scoring mechanism to support investigator triage and case prioritisation.</w:t>
      </w:r>
    </w:p>
    <w:p>
      <w:pPr>
        <w:pStyle w:val="Normal"/>
        <w:spacing w:before="16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2.2 Scope</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The analysis covers 1,000 historical insurance claims spanning motor vehicle incidents. The project encompasses data wrangling, exploratory analysis, feature engineering, model training with hyperparameter search, and deployment-ready model serialisation. Personal identifiers and jurisdiction-specific attributes were excluded from modelling to ensure generalisability and compliance with data minimisation principles.</w:t>
      </w:r>
    </w:p>
    <w:p>
      <w:pPr>
        <w:pStyle w:val="Heading1"/>
        <w:spacing w:before="360" w:after="120"/>
        <w:rPr>
          <w:rFonts w:ascii="Times New Roman" w:hAnsi="Times New Roman"/>
          <w:sz w:val="26"/>
          <w:szCs w:val="26"/>
        </w:rPr>
      </w:pPr>
      <w:r>
        <w:rPr>
          <w:rFonts w:eastAsia="Arial" w:cs="Arial" w:ascii="Times New Roman" w:hAnsi="Times New Roman"/>
          <w:b/>
          <w:bCs/>
          <w:color w:val="1F3864"/>
          <w:sz w:val="26"/>
          <w:szCs w:val="26"/>
        </w:rPr>
        <w:t>3. Data Overview &amp; Preparation</w:t>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3.1 Dataset Characteristics</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The dataset comprised 1,000 records sourced from a historical insurance claims file, with an initial column count of approximately 39 variables. Following structured wrangling, 25 features were retained for analysis. The target variable, fraud_reported, is a binary indicator encoded as 1 (fraud) and 0 (no fraud).</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3.2 Feature Categories</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Retained features span five thematic categories: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Policy attributes: policy_csl (coverage split limits), policy_deductable, policy_annual_premium, umbrella_limit, months_as_customer.</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Financial indicators: capital-gains, capital-loss, total_claim_amount, injury_claim, property_claim, vehicle_claim.</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Incident characteristics: incident_type, collision_type, incident_severity, incident_hour_of_the_day, number_of_vehicles_involved, authorities_contacted.</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Claim evidence: property_damage, bodily_injuries, witnesses, police_report_available.</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Vehicle information: auto_make, auto_model, auto_year.</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3.3 Dropped Variables</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Fourteen variables were removed during wrangling due to irrelevance, high cardinality, or data leakage risk. These included policy_number (unique identifier), insured_zip, insured_hobbies, insured_sex, insured_relationship, insured_education_level, insured_occupation, incident_date, incident_location, incident_city, policy_state, incident_state, age, and an uninformative trailing column (_c39). Dropping these variables reduces overfitting risk and improves model generalisation.</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3.4 Class Imbalance</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A notable class imbalance was observed in the target variable: 75.3% of claims (753 records) were non-fraudulent, while only 24.7% (247 records) were fraudulent. Left unaddressed, this imbalance would bias classifiers toward the majority class, leading to inflated accuracy but poor fraud detection. Random oversampling (RandomOverSampler) was applied exclusively to the training set to achieve a balanced class distribution prior to model fitting, ensuring the test set remained representative of real-world conditions.</w:t>
      </w:r>
    </w:p>
    <w:p>
      <w:pPr>
        <w:pStyle w:val="Heading1"/>
        <w:spacing w:before="360" w:after="120"/>
        <w:rPr>
          <w:rFonts w:eastAsia="Arial" w:cs="Arial"/>
          <w:b/>
          <w:b/>
          <w:bCs/>
          <w:color w:val="1F3864"/>
        </w:rPr>
      </w:pPr>
      <w:r>
        <w:rPr>
          <w:rFonts w:ascii="Times New Roman" w:hAnsi="Times New Roman"/>
          <w:sz w:val="26"/>
          <w:szCs w:val="26"/>
        </w:rPr>
      </w:r>
    </w:p>
    <w:p>
      <w:pPr>
        <w:pStyle w:val="Heading1"/>
        <w:spacing w:before="360" w:after="120"/>
        <w:rPr>
          <w:rFonts w:ascii="Times New Roman" w:hAnsi="Times New Roman"/>
          <w:sz w:val="26"/>
          <w:szCs w:val="26"/>
        </w:rPr>
      </w:pPr>
      <w:r>
        <w:rPr>
          <w:rFonts w:eastAsia="Arial" w:cs="Arial" w:ascii="Times New Roman" w:hAnsi="Times New Roman"/>
          <w:b/>
          <w:bCs/>
          <w:color w:val="1F3864"/>
          <w:sz w:val="26"/>
          <w:szCs w:val="26"/>
        </w:rPr>
        <w:t xml:space="preserve"> </w:t>
      </w:r>
      <w:r>
        <w:rPr>
          <w:rFonts w:eastAsia="Arial" w:cs="Arial" w:ascii="Times New Roman" w:hAnsi="Times New Roman"/>
          <w:b/>
          <w:bCs/>
          <w:color w:val="1F3864"/>
          <w:sz w:val="26"/>
          <w:szCs w:val="26"/>
        </w:rPr>
        <w:t>Methodology</w:t>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4.1 Preprocessing Pipeline</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A unified scikit-learn ColumnTransformer pipeline was constructed to handle both numerical and categorical features: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Numerical features: Missing values imputed using the median strategy, followed by standard scaling (zero mean, unit variance) to normalise feature magnitudes.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Categorical features: Missing values imputed using the most frequent value strategy, followed by one-hot encoding with unknown category handling to accommodate unseen values at inference time.</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4.2 Train/Test Split</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The dataset was partitioned into 80% training (800 records) and 20% testing (200 records) using stratified sampling to preserve the original class distribution in both splits. A fixed random seed (42) was used throughout to ensure full reproducibility. The test set was held out entirely during training and hyperparameter tuning.</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4.3 Model Selection</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Seven classification algorithms were evaluated to identify the best candidate for fraud detection: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Ensemble methods: Random Forest, Gradient Boosting, AdaBoost, Extra Trees.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Boosting frameworks: XGBoost, LightGBM.</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Instance-based and boundary methods: K-Nearest Neighbors, Support Vector Machine.</w:t>
      </w:r>
    </w:p>
    <w:p>
      <w:pPr>
        <w:pStyle w:val="Normal"/>
        <w:spacing w:before="100" w:after="80"/>
        <w:rPr>
          <w:rFonts w:ascii="Times New Roman" w:hAnsi="Times New Roman"/>
          <w:sz w:val="26"/>
          <w:szCs w:val="26"/>
        </w:rPr>
      </w:pPr>
      <w:r>
        <w:rPr>
          <w:rFonts w:ascii="Times New Roman" w:hAnsi="Times New Roman"/>
          <w:sz w:val="26"/>
          <w:szCs w:val="26"/>
        </w:rPr>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Each model was wrapped in a Pipeline combining the preprocessor and classifier. Grid search cross-validation was used to identify optimal hyperparameters, with stratified k-fold splits to maintain class balance during validation.</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4.4 Evaluation Metrics</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Given the class imbalance and the asymmetric costs of fraud detection errors, model performance was assessed across five complementary metrics: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Accuracy: Overall proportion of correctly classified claims.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Precision: Of claims predicted as fraud, the proportion that are genuinely fraudulent. High precision minimises unnecessary investigations.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Recall (Sensitivity): Of all true fraud cases, the proportion correctly identified. High recall minimises financial losses from undetected fraud.</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F1-Score: Harmonic mean of precision and recall, balancing both concerns.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ROC-AUC: Area under the receiver operating characteristic curve, measuring the model's discriminatory power independent of threshold selection.</w:t>
      </w:r>
    </w:p>
    <w:p>
      <w:pPr>
        <w:pStyle w:val="Heading1"/>
        <w:spacing w:before="360" w:after="120"/>
        <w:rPr>
          <w:rFonts w:eastAsia="Arial" w:cs="Arial"/>
          <w:b/>
          <w:b/>
          <w:bCs/>
          <w:color w:val="1F3864"/>
        </w:rPr>
      </w:pPr>
      <w:r>
        <w:rPr>
          <w:rFonts w:ascii="Times New Roman" w:hAnsi="Times New Roman"/>
          <w:sz w:val="26"/>
          <w:szCs w:val="26"/>
        </w:rPr>
      </w:r>
    </w:p>
    <w:p>
      <w:pPr>
        <w:pStyle w:val="Heading1"/>
        <w:spacing w:before="360" w:after="120"/>
        <w:rPr>
          <w:rFonts w:ascii="Times New Roman" w:hAnsi="Times New Roman"/>
          <w:sz w:val="26"/>
          <w:szCs w:val="26"/>
        </w:rPr>
      </w:pPr>
      <w:r>
        <w:rPr>
          <w:rFonts w:eastAsia="Arial" w:cs="Arial" w:ascii="Times New Roman" w:hAnsi="Times New Roman"/>
          <w:b/>
          <w:bCs/>
          <w:color w:val="1F3864"/>
          <w:sz w:val="26"/>
          <w:szCs w:val="26"/>
        </w:rPr>
        <w:t>5. Model Evaluation Results</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The table below summarises performance metrics across all seven evaluated models on the held-out test set. The final selected model (AdaBoost) is highlighted for reference.</w:t>
      </w:r>
    </w:p>
    <w:p>
      <w:pPr>
        <w:pStyle w:val="Normal"/>
        <w:spacing w:before="160" w:after="16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80" w:type="dxa"/>
          <w:left w:w="120" w:type="dxa"/>
          <w:bottom w:w="80" w:type="dxa"/>
          <w:right w:w="120" w:type="dxa"/>
        </w:tblCellMar>
      </w:tblPr>
      <w:tblGrid>
        <w:gridCol w:w="2399"/>
        <w:gridCol w:w="1392"/>
        <w:gridCol w:w="1392"/>
        <w:gridCol w:w="1393"/>
        <w:gridCol w:w="1392"/>
        <w:gridCol w:w="139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Model</w:t>
            </w:r>
          </w:p>
        </w:tc>
        <w:tc>
          <w:tcPr>
            <w:tcW w:w="139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Accuracy</w:t>
            </w:r>
          </w:p>
        </w:tc>
        <w:tc>
          <w:tcPr>
            <w:tcW w:w="139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Precision</w:t>
            </w:r>
          </w:p>
        </w:tc>
        <w:tc>
          <w:tcPr>
            <w:tcW w:w="1393"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Recall</w:t>
            </w:r>
          </w:p>
        </w:tc>
        <w:tc>
          <w:tcPr>
            <w:tcW w:w="1392"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F1-Score</w:t>
            </w:r>
          </w:p>
        </w:tc>
        <w:tc>
          <w:tcPr>
            <w:tcW w:w="1391" w:type="dxa"/>
            <w:tcBorders>
              <w:top w:val="single" w:sz="2" w:space="0" w:color="CCCCCC"/>
              <w:left w:val="single" w:sz="2" w:space="0" w:color="CCCCCC"/>
              <w:bottom w:val="single" w:sz="2" w:space="0" w:color="CCCCCC"/>
              <w:right w:val="single" w:sz="2" w:space="0" w:color="CCCCCC"/>
            </w:tcBorders>
            <w:shd w:fill="1F3864"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ROC-AUC</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000000"/>
                <w:sz w:val="26"/>
                <w:szCs w:val="26"/>
              </w:rPr>
              <w:t>Random Forest</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79.5%</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59.1%</w:t>
            </w:r>
          </w:p>
        </w:tc>
        <w:tc>
          <w:tcPr>
            <w:tcW w:w="139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53.1%</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55.9%</w:t>
            </w:r>
          </w:p>
        </w:tc>
        <w:tc>
          <w:tcPr>
            <w:tcW w:w="139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0.774</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000000"/>
                <w:sz w:val="26"/>
                <w:szCs w:val="26"/>
              </w:rPr>
              <w:t>Gradient Boosting</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78.5%</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55.8%</w:t>
            </w:r>
          </w:p>
        </w:tc>
        <w:tc>
          <w:tcPr>
            <w:tcW w:w="1393"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59.2%</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57.4%</w:t>
            </w:r>
          </w:p>
        </w:tc>
        <w:tc>
          <w:tcPr>
            <w:tcW w:w="139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0.741</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000000"/>
                <w:sz w:val="26"/>
                <w:szCs w:val="26"/>
              </w:rPr>
              <w:t>XGBoost</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75.0%</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48.9%</w:t>
            </w:r>
          </w:p>
        </w:tc>
        <w:tc>
          <w:tcPr>
            <w:tcW w:w="139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44.9%</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46.8%</w:t>
            </w:r>
          </w:p>
        </w:tc>
        <w:tc>
          <w:tcPr>
            <w:tcW w:w="139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0.742</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000000"/>
                <w:sz w:val="26"/>
                <w:szCs w:val="26"/>
              </w:rPr>
              <w:t>LightGBM</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76.5%</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52.3%</w:t>
            </w:r>
          </w:p>
        </w:tc>
        <w:tc>
          <w:tcPr>
            <w:tcW w:w="1393"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46.9%</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49.5%</w:t>
            </w:r>
          </w:p>
        </w:tc>
        <w:tc>
          <w:tcPr>
            <w:tcW w:w="139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0.796</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000000"/>
                <w:sz w:val="26"/>
                <w:szCs w:val="26"/>
              </w:rPr>
              <w:t>SVM</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79.5%</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56.3%</w:t>
            </w:r>
          </w:p>
        </w:tc>
        <w:tc>
          <w:tcPr>
            <w:tcW w:w="1393"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73.5%</w:t>
            </w:r>
          </w:p>
        </w:tc>
        <w:tc>
          <w:tcPr>
            <w:tcW w:w="1392"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63.7%</w:t>
            </w:r>
          </w:p>
        </w:tc>
        <w:tc>
          <w:tcPr>
            <w:tcW w:w="139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0.817</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left"/>
              <w:rPr>
                <w:rFonts w:ascii="Times New Roman" w:hAnsi="Times New Roman"/>
                <w:sz w:val="26"/>
                <w:szCs w:val="26"/>
              </w:rPr>
            </w:pPr>
            <w:r>
              <w:rPr>
                <w:rFonts w:eastAsia="Arial" w:cs="Arial" w:ascii="Times New Roman" w:hAnsi="Times New Roman"/>
                <w:b w:val="false"/>
                <w:bCs w:val="false"/>
                <w:color w:val="000000"/>
                <w:sz w:val="26"/>
                <w:szCs w:val="26"/>
              </w:rPr>
              <w:t>K-Nearest Neighbors</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62.0%</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35.2%</w:t>
            </w:r>
          </w:p>
        </w:tc>
        <w:tc>
          <w:tcPr>
            <w:tcW w:w="1393"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65.3%</w:t>
            </w:r>
          </w:p>
        </w:tc>
        <w:tc>
          <w:tcPr>
            <w:tcW w:w="1392"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45.8%</w:t>
            </w:r>
          </w:p>
        </w:tc>
        <w:tc>
          <w:tcPr>
            <w:tcW w:w="139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b w:val="false"/>
                <w:bCs w:val="false"/>
                <w:color w:val="000000"/>
                <w:sz w:val="26"/>
                <w:szCs w:val="26"/>
              </w:rPr>
              <w:t>0.638</w:t>
            </w:r>
          </w:p>
        </w:tc>
      </w:tr>
      <w:tr>
        <w:trPr/>
        <w:tc>
          <w:tcPr>
            <w:tcW w:w="2399"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jc w:val="left"/>
              <w:rPr>
                <w:rFonts w:ascii="Times New Roman" w:hAnsi="Times New Roman"/>
                <w:sz w:val="26"/>
                <w:szCs w:val="26"/>
              </w:rPr>
            </w:pPr>
            <w:r>
              <w:rPr>
                <w:rFonts w:eastAsia="Arial" w:cs="Arial" w:ascii="Times New Roman" w:hAnsi="Times New Roman"/>
                <w:b/>
                <w:bCs/>
                <w:color w:val="1F3864"/>
                <w:sz w:val="26"/>
                <w:szCs w:val="26"/>
              </w:rPr>
              <w:t>AdaBoost (Selected)</w:t>
            </w:r>
          </w:p>
        </w:tc>
        <w:tc>
          <w:tcPr>
            <w:tcW w:w="1392"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81.0%</w:t>
            </w:r>
          </w:p>
        </w:tc>
        <w:tc>
          <w:tcPr>
            <w:tcW w:w="1392"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59.0%</w:t>
            </w:r>
          </w:p>
        </w:tc>
        <w:tc>
          <w:tcPr>
            <w:tcW w:w="1393"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73.5%</w:t>
            </w:r>
          </w:p>
        </w:tc>
        <w:tc>
          <w:tcPr>
            <w:tcW w:w="1392"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65.4%</w:t>
            </w:r>
          </w:p>
        </w:tc>
        <w:tc>
          <w:tcPr>
            <w:tcW w:w="1391" w:type="dxa"/>
            <w:tcBorders>
              <w:top w:val="single" w:sz="2" w:space="0" w:color="CCCCCC"/>
              <w:left w:val="single" w:sz="2" w:space="0" w:color="CCCCCC"/>
              <w:bottom w:val="single" w:sz="2" w:space="0" w:color="CCCCCC"/>
              <w:right w:val="single" w:sz="2" w:space="0" w:color="CCCCCC"/>
            </w:tcBorders>
            <w:shd w:fill="D6E4F0" w:val="clear"/>
          </w:tcPr>
          <w:p>
            <w:pPr>
              <w:pStyle w:val="Normal"/>
              <w:widowControl w:val="false"/>
              <w:jc w:val="center"/>
              <w:rPr>
                <w:rFonts w:ascii="Times New Roman" w:hAnsi="Times New Roman"/>
                <w:sz w:val="26"/>
                <w:szCs w:val="26"/>
              </w:rPr>
            </w:pPr>
            <w:r>
              <w:rPr>
                <w:rFonts w:eastAsia="Arial" w:cs="Arial" w:ascii="Times New Roman" w:hAnsi="Times New Roman"/>
                <w:b/>
                <w:bCs/>
                <w:color w:val="1F3864"/>
                <w:sz w:val="26"/>
                <w:szCs w:val="26"/>
              </w:rPr>
              <w:t>0.825</w:t>
            </w:r>
          </w:p>
        </w:tc>
      </w:tr>
    </w:tbl>
    <w:p>
      <w:pPr>
        <w:pStyle w:val="Normal"/>
        <w:spacing w:before="200" w:after="10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5.1 Key Observations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The Support Vector Machine achieved the highest ROC-AUC among benchmark models (0.817), and the highest recall for fraud detection (73.5%), indicating strong ability to surface true fraud cases.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Random Forest and Gradient Boosting delivered competitive accuracy (79.5% and 78.5% respectively), though at the cost of lower recall on the fraud class.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K-Nearest Neighbors performed poorly across all metrics (62.0% accuracy, 0.638 ROC-AUC), likely due to the curse of dimensionality following one-hot encoding.</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XGBoost and LightGBM showed moderate performance; LightGBM achieved the second-highest ROC-AUC (0.796), making it a viable alternative.</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AdaBoost was selected as the final model, achieving the best test accuracy (81.0%) and a strong balance of precision and recall, with an estimated ROC-AUC of 0.825.</w:t>
      </w:r>
    </w:p>
    <w:p>
      <w:pPr>
        <w:pStyle w:val="Heading1"/>
        <w:spacing w:before="360" w:after="120"/>
        <w:rPr>
          <w:rFonts w:eastAsia="Arial" w:cs="Arial"/>
          <w:b/>
          <w:b/>
          <w:bCs/>
          <w:color w:val="1F3864"/>
        </w:rPr>
      </w:pPr>
      <w:r>
        <w:rPr>
          <w:rFonts w:ascii="Times New Roman" w:hAnsi="Times New Roman"/>
          <w:sz w:val="26"/>
          <w:szCs w:val="26"/>
        </w:rPr>
      </w:r>
    </w:p>
    <w:p>
      <w:pPr>
        <w:pStyle w:val="Heading1"/>
        <w:spacing w:before="360" w:after="120"/>
        <w:rPr>
          <w:rFonts w:ascii="Times New Roman" w:hAnsi="Times New Roman"/>
          <w:sz w:val="26"/>
          <w:szCs w:val="26"/>
        </w:rPr>
      </w:pPr>
      <w:r>
        <w:rPr>
          <w:rFonts w:eastAsia="Arial" w:cs="Arial" w:ascii="Times New Roman" w:hAnsi="Times New Roman"/>
          <w:b/>
          <w:bCs/>
          <w:color w:val="1F3864"/>
          <w:sz w:val="26"/>
          <w:szCs w:val="26"/>
        </w:rPr>
        <w:t>6. Final Model: AdaBoost Classifier</w:t>
      </w:r>
    </w:p>
    <w:p>
      <w:pPr>
        <w:pStyle w:val="Heading1"/>
        <w:spacing w:before="360" w:after="120"/>
        <w:rPr>
          <w:rFonts w:ascii="Times New Roman" w:hAnsi="Times New Roman"/>
          <w:sz w:val="26"/>
          <w:szCs w:val="26"/>
        </w:rPr>
      </w:pPr>
      <w:r>
        <w:rPr>
          <w:rFonts w:eastAsia="Arial" w:cs="Arial" w:ascii="Times New Roman" w:hAnsi="Times New Roman"/>
          <w:b/>
          <w:bCs/>
          <w:color w:val="2E75B6"/>
          <w:sz w:val="26"/>
          <w:szCs w:val="26"/>
        </w:rPr>
        <w:t>6.1 Model Architecture</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The final model is an AdaBoost (Adaptive Boosting) ensemble classifier embedded within a full scikit-learn Pipeline. AdaBoost iteratively trains a sequence of weak classifiers (decision stumps by default), with each iteration placing greater emphasis on the samples that were previously misclassified. This adaptive mechanism makes it particularly effective for imbalanced datasets where fraud cases are underrepresented.</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6.2 Training vs. Test Performance</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The model achieved a training accuracy of 75.33% and a test accuracy of 81.0%. The higher test accuracy relative to training accuracy is a positive indicator: it reflects that oversampling prevented the model from memorising the majority class, and the model generalises well to unseen real-world class distributions. There is no evidence of overfitting.</w:t>
      </w:r>
    </w:p>
    <w:p>
      <w:pPr>
        <w:pStyle w:val="Normal"/>
        <w:spacing w:before="200" w:after="16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6.3 Classification Report</w:t>
      </w:r>
    </w:p>
    <w:p>
      <w:pPr>
        <w:pStyle w:val="Normal"/>
        <w:spacing w:before="80" w:after="160"/>
        <w:rPr>
          <w:rFonts w:ascii="Times New Roman" w:hAnsi="Times New Roman"/>
          <w:sz w:val="26"/>
          <w:szCs w:val="26"/>
        </w:rPr>
      </w:pPr>
      <w:r>
        <w:rPr>
          <w:rFonts w:ascii="Times New Roman" w:hAnsi="Times New Roman"/>
          <w:sz w:val="26"/>
          <w:szCs w:val="26"/>
        </w:rPr>
      </w:r>
    </w:p>
    <w:tbl>
      <w:tblPr>
        <w:tblW w:w="9360" w:type="dxa"/>
        <w:jc w:val="left"/>
        <w:tblInd w:w="0" w:type="dxa"/>
        <w:tblLayout w:type="fixed"/>
        <w:tblCellMar>
          <w:top w:w="80" w:type="dxa"/>
          <w:left w:w="120" w:type="dxa"/>
          <w:bottom w:w="80" w:type="dxa"/>
          <w:right w:w="120" w:type="dxa"/>
        </w:tblCellMar>
      </w:tblPr>
      <w:tblGrid>
        <w:gridCol w:w="2399"/>
        <w:gridCol w:w="1740"/>
        <w:gridCol w:w="1740"/>
        <w:gridCol w:w="1740"/>
        <w:gridCol w:w="174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jc w:val="left"/>
              <w:rPr>
                <w:rFonts w:ascii="Times New Roman" w:hAnsi="Times New Roman"/>
                <w:sz w:val="26"/>
                <w:szCs w:val="26"/>
              </w:rPr>
            </w:pPr>
            <w:r>
              <w:rPr>
                <w:rFonts w:eastAsia="Arial" w:cs="Arial" w:ascii="Times New Roman" w:hAnsi="Times New Roman"/>
                <w:b/>
                <w:bCs/>
                <w:color w:val="FFFFFF"/>
                <w:sz w:val="26"/>
                <w:szCs w:val="26"/>
              </w:rPr>
              <w:t>Class</w:t>
            </w:r>
          </w:p>
        </w:tc>
        <w:tc>
          <w:tcPr>
            <w:tcW w:w="17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Precision</w:t>
            </w:r>
          </w:p>
        </w:tc>
        <w:tc>
          <w:tcPr>
            <w:tcW w:w="17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Recall</w:t>
            </w:r>
          </w:p>
        </w:tc>
        <w:tc>
          <w:tcPr>
            <w:tcW w:w="1740"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F1-Score</w:t>
            </w:r>
          </w:p>
        </w:tc>
        <w:tc>
          <w:tcPr>
            <w:tcW w:w="1741" w:type="dxa"/>
            <w:tcBorders>
              <w:top w:val="single" w:sz="2" w:space="0" w:color="CCCCCC"/>
              <w:left w:val="single" w:sz="2" w:space="0" w:color="CCCCCC"/>
              <w:bottom w:val="single" w:sz="2" w:space="0" w:color="CCCCCC"/>
              <w:right w:val="single" w:sz="2" w:space="0" w:color="CCCCCC"/>
            </w:tcBorders>
            <w:shd w:fill="2E75B6" w:val="clear"/>
          </w:tcPr>
          <w:p>
            <w:pPr>
              <w:pStyle w:val="Normal"/>
              <w:widowControl w:val="false"/>
              <w:jc w:val="center"/>
              <w:rPr>
                <w:rFonts w:ascii="Times New Roman" w:hAnsi="Times New Roman"/>
                <w:sz w:val="26"/>
                <w:szCs w:val="26"/>
              </w:rPr>
            </w:pPr>
            <w:r>
              <w:rPr>
                <w:rFonts w:eastAsia="Arial" w:cs="Arial" w:ascii="Times New Roman" w:hAnsi="Times New Roman"/>
                <w:b/>
                <w:bCs/>
                <w:color w:val="FFFFFF"/>
                <w:sz w:val="26"/>
                <w:szCs w:val="26"/>
              </w:rPr>
              <w:t>Support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rFonts w:ascii="Times New Roman" w:hAnsi="Times New Roman"/>
                <w:sz w:val="26"/>
                <w:szCs w:val="26"/>
              </w:rPr>
            </w:pPr>
            <w:r>
              <w:rPr>
                <w:rFonts w:eastAsia="Arial" w:cs="Arial" w:ascii="Times New Roman" w:hAnsi="Times New Roman"/>
                <w:sz w:val="26"/>
                <w:szCs w:val="26"/>
              </w:rPr>
              <w:t>Non-Fraud (0)</w:t>
            </w:r>
          </w:p>
        </w:tc>
        <w:tc>
          <w:tcPr>
            <w:tcW w:w="17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0.91</w:t>
            </w:r>
          </w:p>
        </w:tc>
        <w:tc>
          <w:tcPr>
            <w:tcW w:w="17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0.83</w:t>
            </w:r>
          </w:p>
        </w:tc>
        <w:tc>
          <w:tcPr>
            <w:tcW w:w="17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0.87</w:t>
            </w:r>
          </w:p>
        </w:tc>
        <w:tc>
          <w:tcPr>
            <w:tcW w:w="174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151</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left"/>
              <w:rPr>
                <w:rFonts w:ascii="Times New Roman" w:hAnsi="Times New Roman"/>
                <w:sz w:val="26"/>
                <w:szCs w:val="26"/>
              </w:rPr>
            </w:pPr>
            <w:r>
              <w:rPr>
                <w:rFonts w:eastAsia="Arial" w:cs="Arial" w:ascii="Times New Roman" w:hAnsi="Times New Roman"/>
                <w:sz w:val="26"/>
                <w:szCs w:val="26"/>
              </w:rPr>
              <w:t>Fraud (1)</w:t>
            </w:r>
          </w:p>
        </w:tc>
        <w:tc>
          <w:tcPr>
            <w:tcW w:w="174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0.59</w:t>
            </w:r>
          </w:p>
        </w:tc>
        <w:tc>
          <w:tcPr>
            <w:tcW w:w="174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0.73</w:t>
            </w:r>
          </w:p>
        </w:tc>
        <w:tc>
          <w:tcPr>
            <w:tcW w:w="174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0.65</w:t>
            </w:r>
          </w:p>
        </w:tc>
        <w:tc>
          <w:tcPr>
            <w:tcW w:w="174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49</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left"/>
              <w:rPr>
                <w:rFonts w:ascii="Times New Roman" w:hAnsi="Times New Roman"/>
                <w:sz w:val="26"/>
                <w:szCs w:val="26"/>
              </w:rPr>
            </w:pPr>
            <w:r>
              <w:rPr>
                <w:rFonts w:eastAsia="Arial" w:cs="Arial" w:ascii="Times New Roman" w:hAnsi="Times New Roman"/>
                <w:sz w:val="26"/>
                <w:szCs w:val="26"/>
              </w:rPr>
              <w:t>Macro Avg</w:t>
            </w:r>
          </w:p>
        </w:tc>
        <w:tc>
          <w:tcPr>
            <w:tcW w:w="17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0.75</w:t>
            </w:r>
          </w:p>
        </w:tc>
        <w:tc>
          <w:tcPr>
            <w:tcW w:w="17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0.78</w:t>
            </w:r>
          </w:p>
        </w:tc>
        <w:tc>
          <w:tcPr>
            <w:tcW w:w="1740"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0.76</w:t>
            </w:r>
          </w:p>
        </w:tc>
        <w:tc>
          <w:tcPr>
            <w:tcW w:w="1741" w:type="dxa"/>
            <w:tcBorders>
              <w:top w:val="single" w:sz="2" w:space="0" w:color="CCCCCC"/>
              <w:left w:val="single" w:sz="2" w:space="0" w:color="CCCCCC"/>
              <w:bottom w:val="single" w:sz="2" w:space="0" w:color="CCCCCC"/>
              <w:right w:val="single" w:sz="2" w:space="0" w:color="CCCCCC"/>
            </w:tcBorders>
            <w:shd w:fill="FFFFFF"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200</w:t>
            </w:r>
          </w:p>
        </w:tc>
      </w:tr>
      <w:tr>
        <w:trPr/>
        <w:tc>
          <w:tcPr>
            <w:tcW w:w="2399"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left"/>
              <w:rPr>
                <w:rFonts w:ascii="Times New Roman" w:hAnsi="Times New Roman"/>
                <w:sz w:val="26"/>
                <w:szCs w:val="26"/>
              </w:rPr>
            </w:pPr>
            <w:r>
              <w:rPr>
                <w:rFonts w:eastAsia="Arial" w:cs="Arial" w:ascii="Times New Roman" w:hAnsi="Times New Roman"/>
                <w:sz w:val="26"/>
                <w:szCs w:val="26"/>
              </w:rPr>
              <w:t>Weighted Avg</w:t>
            </w:r>
          </w:p>
        </w:tc>
        <w:tc>
          <w:tcPr>
            <w:tcW w:w="174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0.83</w:t>
            </w:r>
          </w:p>
        </w:tc>
        <w:tc>
          <w:tcPr>
            <w:tcW w:w="174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0.81</w:t>
            </w:r>
          </w:p>
        </w:tc>
        <w:tc>
          <w:tcPr>
            <w:tcW w:w="1740"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0.82</w:t>
            </w:r>
          </w:p>
        </w:tc>
        <w:tc>
          <w:tcPr>
            <w:tcW w:w="1741" w:type="dxa"/>
            <w:tcBorders>
              <w:top w:val="single" w:sz="2" w:space="0" w:color="CCCCCC"/>
              <w:left w:val="single" w:sz="2" w:space="0" w:color="CCCCCC"/>
              <w:bottom w:val="single" w:sz="2" w:space="0" w:color="CCCCCC"/>
              <w:right w:val="single" w:sz="2" w:space="0" w:color="CCCCCC"/>
            </w:tcBorders>
            <w:shd w:fill="F2F2F2" w:val="clear"/>
          </w:tcPr>
          <w:p>
            <w:pPr>
              <w:pStyle w:val="Normal"/>
              <w:widowControl w:val="false"/>
              <w:jc w:val="center"/>
              <w:rPr>
                <w:rFonts w:ascii="Times New Roman" w:hAnsi="Times New Roman"/>
                <w:sz w:val="26"/>
                <w:szCs w:val="26"/>
              </w:rPr>
            </w:pPr>
            <w:r>
              <w:rPr>
                <w:rFonts w:eastAsia="Arial" w:cs="Arial" w:ascii="Times New Roman" w:hAnsi="Times New Roman"/>
                <w:sz w:val="26"/>
                <w:szCs w:val="26"/>
              </w:rPr>
              <w:t>200</w:t>
            </w:r>
          </w:p>
        </w:tc>
      </w:tr>
    </w:tbl>
    <w:p>
      <w:pPr>
        <w:pStyle w:val="Normal"/>
        <w:spacing w:before="200" w:after="10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6.4 Performance Interpretation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Non-Fraud (Class 0): The model correctly identifies 83% of legitimate claims (recall 0.83) with very high precision (0.91), meaning false fraud alerts on genuine claims are rare. This preserves customer trust and minimises unnecessary processing overhead.</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Fraud (Class 1): The model identifies 73.5% of actual fraud cases (recall 0.73), with a precision of 59%. For every 10 claims flagged as fraudulent, approximately 6 are genuine fraud cases. The 26.5% miss rate (false negatives) represents claims that require supplementary detection strategies.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Weighted F1-Score of 0.82 reflects strong overall performance accounting for class frequency.</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Macro-average recall of 0.78 confirms that the model balances detection across both classes rather than defaulting to predicting the majority class.</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6.5 Threshold Optimisation</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A configurable decision threshold widget was implemented in the development environment to allow analysts to explore the precision-recall trade-off dynamically. By adjusting the classification threshold above the default 0.5, investigators can tune the model toward higher precision (fewer false flags) or, conversely, lower the threshold to maximise recall and catch more fraud at the cost of additional manual reviews. The optimal threshold for deployment should be determined based on the organisation's cost-benefit assessment of investigation capacity versus fraud exposure.</w:t>
      </w:r>
    </w:p>
    <w:p>
      <w:pPr>
        <w:pStyle w:val="Heading1"/>
        <w:spacing w:before="360" w:after="120"/>
        <w:rPr>
          <w:rFonts w:eastAsia="Arial" w:cs="Arial"/>
          <w:b/>
          <w:b/>
          <w:bCs/>
          <w:color w:val="1F3864"/>
        </w:rPr>
      </w:pPr>
      <w:r>
        <w:rPr>
          <w:rFonts w:ascii="Times New Roman" w:hAnsi="Times New Roman"/>
          <w:sz w:val="26"/>
          <w:szCs w:val="26"/>
        </w:rPr>
      </w:r>
    </w:p>
    <w:p>
      <w:pPr>
        <w:pStyle w:val="Heading1"/>
        <w:spacing w:before="360" w:after="120"/>
        <w:rPr>
          <w:rFonts w:ascii="Times New Roman" w:hAnsi="Times New Roman"/>
          <w:sz w:val="26"/>
          <w:szCs w:val="26"/>
        </w:rPr>
      </w:pPr>
      <w:r>
        <w:rPr>
          <w:rFonts w:eastAsia="Arial" w:cs="Arial" w:ascii="Times New Roman" w:hAnsi="Times New Roman"/>
          <w:b/>
          <w:bCs/>
          <w:color w:val="1F3864"/>
          <w:sz w:val="26"/>
          <w:szCs w:val="26"/>
        </w:rPr>
        <w:t>7. Deployment &amp; Integration</w:t>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7.1 Model Serialisation</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The trained AdaBoost pipeline has been serialised using Python's joblib library and saved as final_model_20260131.pkl. The preprocessing pipeline has been separately serialised as preprocessor_20260131.pkl. Versioned filenames incorporating the creation date facilitate model lifecycle management and rollback capability.</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7.2 Real-Time Prediction API</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A predict_fraud() inference function has been implemented that accepts new claim records as a DataFrame, loads the serialised pipeline, generates fraud probability scores, binary predictions, and risk-tier classifications (Low, Medium, High) based on configurable probability thresholds: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Low Risk: Fraud probability below 30% — no immediate action required.</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Medium Risk: Fraud probability between 30% and 70% — flag for secondary review.</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High Risk: Fraud probability above 70% — escalate to fraud investigation team immediately.</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7.3 Integration Recommendations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Embed the pipeline within the existing claims management system via a REST API wrapper (e.g., Flask or FastAPI) to enable automated scoring at claim submission.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Establish a model monitoring dashboard to track score distributions, flag concept drift, and trigger scheduled retraining as new labelled claim data accumulates.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Implement access controls to ensure fraud scores are visible only to authorised investigation personnel, in compliance with data protection regulations.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Conduct periodic back-testing against confirmed fraud outcomes to validate ongoing model efficacy and recalibrate thresholds as necessary.</w:t>
      </w:r>
    </w:p>
    <w:p>
      <w:pPr>
        <w:pStyle w:val="Heading1"/>
        <w:spacing w:before="360" w:after="120"/>
        <w:rPr>
          <w:rFonts w:eastAsia="Arial" w:cs="Arial"/>
          <w:b/>
          <w:b/>
          <w:bCs/>
          <w:color w:val="1F3864"/>
        </w:rPr>
      </w:pPr>
      <w:r>
        <w:rPr>
          <w:rFonts w:ascii="Times New Roman" w:hAnsi="Times New Roman"/>
          <w:sz w:val="26"/>
          <w:szCs w:val="26"/>
        </w:rPr>
      </w:r>
    </w:p>
    <w:p>
      <w:pPr>
        <w:pStyle w:val="Heading1"/>
        <w:spacing w:before="360" w:after="120"/>
        <w:rPr>
          <w:rFonts w:ascii="Times New Roman" w:hAnsi="Times New Roman"/>
          <w:sz w:val="26"/>
          <w:szCs w:val="26"/>
        </w:rPr>
      </w:pPr>
      <w:r>
        <w:rPr>
          <w:rFonts w:eastAsia="Arial" w:cs="Arial" w:ascii="Times New Roman" w:hAnsi="Times New Roman"/>
          <w:b/>
          <w:bCs/>
          <w:color w:val="1F3864"/>
          <w:sz w:val="26"/>
          <w:szCs w:val="26"/>
        </w:rPr>
        <w:t>8. Limitations &amp; Risk Considerations</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While the model demonstrates strong performance, several limitations and risks should be acknowledged before full production deployment:</w:t>
      </w:r>
    </w:p>
    <w:p>
      <w:pPr>
        <w:pStyle w:val="Normal"/>
        <w:spacing w:before="10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8.1 Data Limitations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The dataset contains only 1,000 records, which, while sufficient for model development, is a relatively small sample. Larger datasets are expected to improve model robustness and generalisation across diverse claim types.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The dataset represents a single, undisclosed source. Potential selection biases in historical data (e.g., previously uninvestigated fraud not labelled) may undercount the true fraud prevalence.</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Several variables with potential predictive value (e.g., claimant occupation, geographic location) were dropped to simplify the model; these could be reintroduced in a future iteration with appropriate encoding.</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8.2 Model Limitations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 26.5% false negative rate (missed fraud cases) means that approximately 1 in 4 fraudulent claims will not be flagged by the model alone. Human review protocols remain essential.</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A 41% false positive rate among flagged claims (precision of 0.59) means that some legitimate claims will be incorrectly flagged, creating processing overhead and potential customer experience issues.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Model performance may degrade over time as fraud tactics evolve. Scheduled retraining on fresh labelled data is critical for maintaining detection efficacy.</w:t>
      </w:r>
    </w:p>
    <w:p>
      <w:pPr>
        <w:pStyle w:val="Normal"/>
        <w:spacing w:before="140" w:after="80"/>
        <w:rPr>
          <w:rFonts w:ascii="Times New Roman" w:hAnsi="Times New Roman"/>
          <w:sz w:val="26"/>
          <w:szCs w:val="26"/>
        </w:rPr>
      </w:pPr>
      <w:r>
        <w:rPr>
          <w:rFonts w:ascii="Times New Roman" w:hAnsi="Times New Roman"/>
          <w:sz w:val="26"/>
          <w:szCs w:val="26"/>
        </w:rPr>
      </w:r>
    </w:p>
    <w:p>
      <w:pPr>
        <w:pStyle w:val="Heading2"/>
        <w:spacing w:before="280" w:after="100"/>
        <w:rPr>
          <w:rFonts w:ascii="Times New Roman" w:hAnsi="Times New Roman"/>
          <w:sz w:val="26"/>
          <w:szCs w:val="26"/>
        </w:rPr>
      </w:pPr>
      <w:r>
        <w:rPr>
          <w:rFonts w:eastAsia="Arial" w:cs="Arial" w:ascii="Times New Roman" w:hAnsi="Times New Roman"/>
          <w:b/>
          <w:bCs/>
          <w:color w:val="2E75B6"/>
          <w:sz w:val="26"/>
          <w:szCs w:val="26"/>
        </w:rPr>
        <w:t>8.3 Ethical &amp; Regulatory Considerations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Decisions affecting claimants should not rely solely on model outputs. Automated fraud flags must be accompanied by human investigator review and formal evidence gathering before any claim denial.</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Model fairness assessments should be conducted to ensure that protected characteristics do not inadvertently influence fraud predictions through correlated proxy variables.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Deployment must comply with applicable data protection regulations including GDPR and sector-specific insurance regulations governing automated decision-making.</w:t>
      </w:r>
    </w:p>
    <w:p>
      <w:pPr>
        <w:pStyle w:val="Heading1"/>
        <w:spacing w:before="360" w:after="120"/>
        <w:rPr>
          <w:rFonts w:eastAsia="Arial" w:cs="Arial"/>
          <w:b/>
          <w:b/>
          <w:bCs/>
          <w:color w:val="1F3864"/>
        </w:rPr>
      </w:pPr>
      <w:r>
        <w:rPr>
          <w:rFonts w:ascii="Times New Roman" w:hAnsi="Times New Roman"/>
          <w:sz w:val="26"/>
          <w:szCs w:val="26"/>
        </w:rPr>
      </w:r>
    </w:p>
    <w:p>
      <w:pPr>
        <w:pStyle w:val="Heading1"/>
        <w:spacing w:before="360" w:after="120"/>
        <w:rPr>
          <w:rFonts w:ascii="Times New Roman" w:hAnsi="Times New Roman"/>
          <w:sz w:val="26"/>
          <w:szCs w:val="26"/>
        </w:rPr>
      </w:pPr>
      <w:r>
        <w:rPr>
          <w:rFonts w:eastAsia="Arial" w:cs="Arial" w:ascii="Times New Roman" w:hAnsi="Times New Roman"/>
          <w:b/>
          <w:bCs/>
          <w:color w:val="1F3864"/>
          <w:sz w:val="26"/>
          <w:szCs w:val="26"/>
        </w:rPr>
        <w:t>9. Conclusions &amp; Recommendations</w:t>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This project has successfully developed and validated a machine learning pipeline for insurance claims fraud detection. The AdaBoost classifier demonstrated the strongest combination of accuracy, recall, and ROC-AUC performance across the evaluated candidate models, and has been packaged for production deployment.</w:t>
      </w:r>
    </w:p>
    <w:p>
      <w:pPr>
        <w:pStyle w:val="Normal"/>
        <w:spacing w:before="100" w:after="100"/>
        <w:rPr>
          <w:rFonts w:ascii="Times New Roman" w:hAnsi="Times New Roman"/>
          <w:sz w:val="26"/>
          <w:szCs w:val="26"/>
        </w:rPr>
      </w:pPr>
      <w:r>
        <w:rPr>
          <w:rFonts w:ascii="Times New Roman" w:hAnsi="Times New Roman"/>
          <w:sz w:val="26"/>
          <w:szCs w:val="26"/>
        </w:rPr>
      </w:r>
    </w:p>
    <w:p>
      <w:pPr>
        <w:pStyle w:val="Normal"/>
        <w:spacing w:before="80" w:after="120"/>
        <w:jc w:val="both"/>
        <w:rPr>
          <w:rFonts w:ascii="Times New Roman" w:hAnsi="Times New Roman"/>
          <w:sz w:val="26"/>
          <w:szCs w:val="26"/>
        </w:rPr>
      </w:pPr>
      <w:r>
        <w:rPr>
          <w:rFonts w:eastAsia="Arial" w:cs="Arial" w:ascii="Times New Roman" w:hAnsi="Times New Roman"/>
          <w:color w:val="000000"/>
          <w:sz w:val="26"/>
          <w:szCs w:val="26"/>
        </w:rPr>
        <w:t>The following recommendations are proposed for the business to maximise value from this initiative:</w:t>
      </w:r>
    </w:p>
    <w:p>
      <w:pPr>
        <w:pStyle w:val="Normal"/>
        <w:spacing w:before="80" w:after="80"/>
        <w:rPr>
          <w:rFonts w:ascii="Times New Roman" w:hAnsi="Times New Roman"/>
          <w:sz w:val="26"/>
          <w:szCs w:val="26"/>
        </w:rPr>
      </w:pPr>
      <w:r>
        <w:rPr>
          <w:rFonts w:ascii="Times New Roman" w:hAnsi="Times New Roman"/>
          <w:sz w:val="26"/>
          <w:szCs w:val="26"/>
        </w:rPr>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Deploy the model as a real-time scoring service integrated with the claims intake workflow to provide fraud probability scores at the point of claim submission.</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Establish a risk-tiered review process aligned with the Low / Medium / High probability bands, focusing investigator resources on high-probability cases.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Invest in expanding the labelled training dataset to at least 5,000 records to improve model stability and precision on the fraud class.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Explore ensemble stacking of the top-performing models (AdaBoost, SVM, LightGBM) to further improve discriminatory performance.</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Schedule quarterly model performance reviews with recalibration against confirmed fraud outcomes to detect and address concept drift.</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Commission a fairness and explainability audit prior to full deployment, using tools such as SHAP to provide interpretable fraud flags to investigators and regulators.</w:t>
      </w:r>
    </w:p>
    <w:p>
      <w:pPr>
        <w:pStyle w:val="ListParagraph"/>
        <w:numPr>
          <w:ilvl w:val="0"/>
          <w:numId w:val="1"/>
        </w:numPr>
        <w:spacing w:before="60" w:after="60"/>
        <w:rPr>
          <w:rFonts w:ascii="Times New Roman" w:hAnsi="Times New Roman"/>
          <w:sz w:val="26"/>
          <w:szCs w:val="26"/>
        </w:rPr>
      </w:pPr>
      <w:r>
        <w:rPr>
          <w:rFonts w:eastAsia="Arial" w:cs="Arial" w:ascii="Times New Roman" w:hAnsi="Times New Roman"/>
          <w:sz w:val="26"/>
          <w:szCs w:val="26"/>
        </w:rPr>
        <w:t>Define a clear escalation protocol delineating the respective roles of the automated model, human investigators, and legal/compliance teams in the fraud determination process.</w:t>
      </w:r>
    </w:p>
    <w:p>
      <w:pPr>
        <w:pStyle w:val="Normal"/>
        <w:spacing w:before="200" w:after="100"/>
        <w:rPr>
          <w:rFonts w:eastAsia="Arial" w:cs="Arial"/>
          <w:b w:val="false"/>
          <w:b w:val="false"/>
          <w:bCs w:val="false"/>
          <w:i/>
          <w:i/>
          <w:iCs/>
          <w:color w:val="000000"/>
        </w:rPr>
      </w:pPr>
      <w:r>
        <w:rPr>
          <w:rFonts w:ascii="Times New Roman" w:hAnsi="Times New Roman"/>
          <w:sz w:val="26"/>
          <w:szCs w:val="26"/>
        </w:rPr>
      </w:r>
    </w:p>
    <w:sectPr>
      <w:headerReference w:type="default" r:id="rId2"/>
      <w:footerReference w:type="default" r:id="rId3"/>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75B6"/>
      </w:pBdr>
      <w:tabs>
        <w:tab w:val="clear" w:pos="720"/>
        <w:tab w:val="right" w:pos="9026" w:leader="none"/>
      </w:tabs>
      <w:rPr/>
    </w:pPr>
    <w:r>
      <w:rPr>
        <w:rFonts w:eastAsia="Arial" w:cs="Arial"/>
        <w:color w:val="595959"/>
        <w:sz w:val="16"/>
        <w:szCs w:val="16"/>
      </w:rPr>
      <w:tab/>
      <w:t xml:space="preserve">Page </w:t>
    </w:r>
    <w:r>
      <w:rPr/>
      <w:fldChar w:fldCharType="begin"/>
    </w:r>
    <w:r>
      <w:rPr/>
      <w:instrText xml:space="preserve"> PAGE </w:instrText>
    </w:r>
    <w:r>
      <w:rPr/>
      <w:fldChar w:fldCharType="separate"/>
    </w:r>
    <w:r>
      <w:rPr/>
      <w:t>11</w:t>
    </w:r>
    <w:r>
      <w:rPr/>
      <w:fldChar w:fldCharType="end"/>
    </w:r>
    <w:r>
      <w:rPr>
        <w:rFonts w:eastAsia="Arial" w:cs="Arial"/>
        <w:color w:val="595959"/>
        <w:sz w:val="16"/>
        <w:szCs w:val="16"/>
      </w:rPr>
      <w:t xml:space="preserve"> of </w:t>
    </w:r>
    <w:r>
      <w:rPr/>
      <w:fldChar w:fldCharType="begin"/>
    </w:r>
    <w:r>
      <w:rPr/>
      <w:instrText xml:space="preserve"> NUMPAGES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75B6"/>
      </w:pBdr>
      <w:tabs>
        <w:tab w:val="clear" w:pos="720"/>
        <w:tab w:val="right" w:pos="9026" w:leader="none"/>
      </w:tabs>
      <w:spacing w:before="0" w:after="100"/>
      <w:rPr/>
    </w:pPr>
    <w:r>
      <w:rPr>
        <w:rFonts w:eastAsia="Arial" w:cs="Arial"/>
        <w:b/>
        <w:bCs/>
        <w:color w:val="1F3864"/>
        <w:sz w:val="18"/>
        <w:szCs w:val="18"/>
      </w:rPr>
      <w:t>INSURANCE CLAIMS FRAUD DETECTION</w:t>
    </w:r>
    <w:r>
      <w:rPr>
        <w:rFonts w:eastAsia="Arial" w:cs="Arial"/>
        <w:color w:val="595959"/>
        <w:sz w:val="18"/>
        <w:szCs w:val="18"/>
      </w:rPr>
      <w:t xml:space="preserve">  |  Business Report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20"/>
      <w:outlineLvl w:val="0"/>
    </w:pPr>
    <w:rPr>
      <w:rFonts w:ascii="Arial" w:hAnsi="Arial" w:eastAsia="Arial" w:cs="Arial"/>
      <w:b/>
      <w:bCs/>
      <w:color w:val="1F3864"/>
      <w:sz w:val="32"/>
      <w:szCs w:val="32"/>
    </w:rPr>
  </w:style>
  <w:style w:type="paragraph" w:styleId="Heading2">
    <w:name w:val="Heading 2"/>
    <w:basedOn w:val="Heading"/>
    <w:qFormat/>
    <w:pPr>
      <w:spacing w:before="280" w:after="100"/>
      <w:outlineLvl w:val="1"/>
    </w:pPr>
    <w:rPr>
      <w:rFonts w:ascii="Arial" w:hAnsi="Arial" w:eastAsia="Arial" w:cs="Arial"/>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Heading"/>
    <w:qFormat/>
    <w:pPr/>
    <w:rPr>
      <w:sz w:val="56"/>
      <w:szCs w:val="56"/>
    </w:rPr>
  </w:style>
  <w:style w:type="paragraph" w:styleId="Strong">
    <w:name w:val="Strong"/>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6</TotalTime>
  <Application>Edit_Docx_PLUS/7.4.0.3$Windows_X86_64 LibreOffice_project/</Application>
  <AppVersion>15.0000</AppVersion>
  <Pages>11</Pages>
  <Words>2202</Words>
  <Characters>14141</Characters>
  <CharactersWithSpaces>16080</CharactersWithSpaces>
  <Paragraphs>214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2026-03-10T05:02:24Z</dcterms:created>
  <dc:creator>Un-named</dc:creator>
  <dc:description/>
  <dc:language>en-US</dc:language>
  <cp:lastModifiedBy/>
  <dcterms:modified xsi:type="dcterms:W3CDTF">2026-03-10T08:20:42Z</dcterms:modified>
  <cp:revision>2</cp:revision>
  <dc:subject/>
  <dc:title/>
</cp:coreProperties>
</file>