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0D1F3C"/>
          <w:sz w:val="26"/>
          <w:szCs w:val="26"/>
        </w:rPr>
        <w:t>BUSINESS REPORT</w:t>
      </w:r>
    </w:p>
    <w:p>
      <w:pPr>
        <w:pStyle w:val="Normal"/>
        <w:spacing w:before="60" w:after="6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2E6DA4"/>
          <w:sz w:val="26"/>
          <w:szCs w:val="26"/>
        </w:rPr>
        <w:t>Company Bankruptcy Prediction</w:t>
      </w:r>
    </w:p>
    <w:p>
      <w:pPr>
        <w:pStyle w:val="Normal"/>
        <w:jc w:val="center"/>
        <w:rPr>
          <w:rFonts w:eastAsia="Arial" w:cs="Arial"/>
          <w:b/>
          <w:b/>
          <w:bCs/>
          <w:color w:val="2E6DA4"/>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i/>
          <w:iCs/>
          <w:color w:val="595959"/>
          <w:sz w:val="26"/>
          <w:szCs w:val="26"/>
        </w:rPr>
        <w:t>Random Forest Classifier for Early Financial Distress Detection</w:t>
      </w:r>
    </w:p>
    <w:p>
      <w:pPr>
        <w:pStyle w:val="Normal"/>
        <w:spacing w:before="700" w:after="70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0D1F3C"/>
          <w:sz w:val="26"/>
          <w:szCs w:val="26"/>
        </w:rPr>
        <w:t>Prepared by:  Steve Musyoka</w:t>
      </w:r>
    </w:p>
    <w:p>
      <w:pPr>
        <w:pStyle w:val="Normal"/>
        <w:jc w:val="center"/>
        <w:rPr>
          <w:rFonts w:ascii="Times New Roman" w:hAnsi="Times New Roman"/>
          <w:sz w:val="26"/>
          <w:szCs w:val="26"/>
        </w:rPr>
      </w:pPr>
      <w:r>
        <w:rPr>
          <w:rFonts w:eastAsia="Arial" w:cs="Arial" w:ascii="Times New Roman" w:hAnsi="Times New Roman"/>
          <w:color w:val="595959"/>
          <w:sz w:val="26"/>
          <w:szCs w:val="26"/>
        </w:rPr>
        <w:t>Field:  Econometrics  |  Statistics  |  Data Science</w:t>
      </w:r>
    </w:p>
    <w:p>
      <w:pPr>
        <w:pStyle w:val="Normal"/>
        <w:jc w:val="center"/>
        <w:rPr>
          <w:rFonts w:eastAsia="Arial" w:cs="Arial"/>
          <w:color w:val="595959"/>
        </w:rPr>
      </w:pPr>
      <w:r>
        <w:rPr>
          <w:rFonts w:ascii="Times New Roman" w:hAnsi="Times New Roman"/>
          <w:sz w:val="26"/>
          <w:szCs w:val="26"/>
        </w:rPr>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1. Summary</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This report presents the methodology, results, and strategic implications of a machine learning project designed to predict corporate bankruptcy using financial ratio data. Bankruptcy prediction is a high-stakes problem in corporate finance: early and accurate identification of financially distressed firms enables creditors, investors, auditors, and regulators to take timely, protective action before insolvency becomes unavoidable.</w:t>
      </w:r>
    </w:p>
    <w:p>
      <w:pPr>
        <w:pStyle w:val="Normal"/>
        <w:spacing w:before="80" w:after="8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A Random Forest classifier was developed and tuned using a dataset of 6,819 company records described by 95 financial ratios spanning profitability, liquidity, leverage, solvency, and efficiency dimensions. Rigorous cross-validated hyperparameter search was conducted across 12 model configurations. The final tuned model achieves 96% overall test accuracy and 98% accuracy on solvent company identification, with a weighted F1-score of 0.96.</w:t>
      </w:r>
    </w:p>
    <w:p>
      <w:pPr>
        <w:pStyle w:val="Normal"/>
        <w:spacing w:before="80" w:after="8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Key findings at a glance:</w:t>
      </w:r>
    </w:p>
    <w:p>
      <w:pPr>
        <w:pStyle w:val="ListParagraph"/>
        <w:numPr>
          <w:ilvl w:val="0"/>
          <w:numId w:val="3"/>
        </w:numPr>
        <w:spacing w:before="60" w:after="60"/>
        <w:rPr>
          <w:rFonts w:ascii="Times New Roman" w:hAnsi="Times New Roman"/>
          <w:sz w:val="26"/>
          <w:szCs w:val="26"/>
        </w:rPr>
      </w:pPr>
      <w:r>
        <w:rPr>
          <w:rFonts w:eastAsia="Arial" w:cs="Arial" w:ascii="Times New Roman" w:hAnsi="Times New Roman"/>
          <w:sz w:val="26"/>
          <w:szCs w:val="26"/>
        </w:rPr>
        <w:t>Dataset comprises 6,819 companies across 95 financial features with a severe class imbalance (96.9% non-bankrupt).</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Random oversampling was applied to the training set to correct class imbalance before model fitting.</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5-fold cross-validated grid search over 12 hyperparameter combinations was used for model optimisation.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 final model achieves 96% test accuracy, 0.98 precision and recall on the non-bankrupt class.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Bankruptcy class recall of 47% reflects the inherent difficulty of identifying rare financial distress signals, highlighting the need for threshold calibration and complementary review processes.</w:t>
      </w:r>
    </w:p>
    <w:p>
      <w:pPr>
        <w:pStyle w:val="Normal"/>
        <w:spacing w:before="180" w:after="18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140" w:type="dxa"/>
          <w:left w:w="160" w:type="dxa"/>
          <w:bottom w:w="140" w:type="dxa"/>
          <w:right w:w="160" w:type="dxa"/>
        </w:tblCellMar>
      </w:tblPr>
      <w:tblGrid>
        <w:gridCol w:w="2340"/>
        <w:gridCol w:w="2340"/>
        <w:gridCol w:w="2340"/>
        <w:gridCol w:w="2339"/>
      </w:tblGrid>
      <w:tr>
        <w:trPr/>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6,819</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Companies in Dataset</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company financial records</w:t>
            </w:r>
          </w:p>
        </w:tc>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95</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Financial Features</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ratio-based predictors</w:t>
            </w:r>
          </w:p>
        </w:tc>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3.1%</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Bankrupt Companies</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severe class imbalance</w:t>
            </w:r>
          </w:p>
        </w:tc>
        <w:tc>
          <w:tcPr>
            <w:tcW w:w="2339"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96.9%</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Baseline Accuracy</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majority-class classifier</w:t>
            </w:r>
          </w:p>
        </w:tc>
      </w:tr>
      <w:tr>
        <w:trPr/>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96%</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Test Accuracy</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tuned Random Forest</w:t>
            </w:r>
          </w:p>
        </w:tc>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98%</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Non-Bankrupt Recall</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solvent firm detection</w:t>
            </w:r>
          </w:p>
        </w:tc>
        <w:tc>
          <w:tcPr>
            <w:tcW w:w="2340"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12</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Hyperparameters</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combinations evaluated</w:t>
            </w:r>
          </w:p>
        </w:tc>
        <w:tc>
          <w:tcPr>
            <w:tcW w:w="2339" w:type="dxa"/>
            <w:tcBorders>
              <w:top w:val="single" w:sz="2" w:space="0" w:color="C0C8D8"/>
              <w:left w:val="single" w:sz="2" w:space="0" w:color="C0C8D8"/>
              <w:bottom w:val="single" w:sz="2" w:space="0" w:color="C0C8D8"/>
              <w:right w:val="single" w:sz="2" w:space="0" w:color="C0C8D8"/>
            </w:tcBorders>
            <w:shd w:fill="EBF3FB"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6DA4"/>
                <w:sz w:val="26"/>
                <w:szCs w:val="26"/>
              </w:rPr>
              <w:t>5</w:t>
            </w:r>
          </w:p>
          <w:p>
            <w:pPr>
              <w:pStyle w:val="Normal"/>
              <w:widowControl w:val="false"/>
              <w:jc w:val="center"/>
              <w:rPr>
                <w:rFonts w:ascii="Times New Roman" w:hAnsi="Times New Roman"/>
                <w:sz w:val="26"/>
                <w:szCs w:val="26"/>
              </w:rPr>
            </w:pPr>
            <w:r>
              <w:rPr>
                <w:rFonts w:eastAsia="Arial" w:cs="Arial" w:ascii="Times New Roman" w:hAnsi="Times New Roman"/>
                <w:b/>
                <w:bCs/>
                <w:color w:val="0D1F3C"/>
                <w:sz w:val="26"/>
                <w:szCs w:val="26"/>
              </w:rPr>
              <w:t>CV Folds</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60 total model fits</w:t>
            </w:r>
          </w:p>
        </w:tc>
      </w:tr>
    </w:tbl>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2. Project Background &amp; Objectives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Corporate bankruptcy represents one of the most consequential events in financial markets. When a company becomes insolvent, the repercussions cascade across multiple stakeholders: shareholders face capital loss, creditors risk non-repayment of debt, employees face redundancy, and the broader economy absorbs productivity shocks. Accurate early-warning systems that identify companies at elevated bankruptcy risk provide decision-makers with a critical window for intervention.</w:t>
      </w:r>
    </w:p>
    <w:p>
      <w:pPr>
        <w:pStyle w:val="Normal"/>
        <w:spacing w:before="80" w:after="8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Traditional bankruptcy prediction models, such as Altman's Z-Score (1968) and Ohlson's O-Score (1980), rely on a small set of curated financial ratios and linear statistical assumptions. While interpretable, these models are limited in their ability to capture complex, non-linear interactions among financial variables. Machine learning approaches, particularly ensemble methods such as Random Forests, offer a data-driven alternative that can model higher-order feature interactions and deliver superior out-of-sample prediction accuracy.</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2.1 Project Objectives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Build a supervised machine learning model capable of predicting corporate bankruptcy from financial ratio data.</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Address the severe class imbalance inherent in bankruptcy datasets, where bankrupt firms represent a small minority.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Optimise model hyperparameters through cross-validated grid search to maximise discriminatory performance (ROC-AUC).</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Evaluate model performance using a comprehensive set of classification metrics beyond accuracy.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Identify the most influential financial ratios driving bankruptcy risk, informing analytical and monitoring frameworks.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Provide actionable recommendations for deploying the model within risk management and credit analysis workflows.</w:t>
      </w:r>
    </w:p>
    <w:p>
      <w:pPr>
        <w:pStyle w:val="Normal"/>
        <w:spacing w:before="100" w:after="10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2.2 Analytical Scope</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project focuses on binary classification of companies as either solvent (Bankrupt? = 0) or bankrupt (Bankrupt? = 1) based on 95 financial ratio features. The dataset is sourced from historical company filings covering a cross-section of industries. No temporal information (year-over-year trends) is incorporated in this iteration, treating each record as an independent observation. Future work could incorporate time-series financial panel data to capture deterioration trajectories.</w:t>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3. Data Overview &amp; Preparation</w:t>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3.1 Dataset Characteristics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dataset contains 6,819 company records, each described by 95 financial ratio features and one binary target variable (Bankrupt?). The breadth of features is notable: 95 ratios span five major financial analysis dimensions, providing a comprehensive portrait of each company's financial health.</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2799"/>
        <w:gridCol w:w="2880"/>
        <w:gridCol w:w="3681"/>
      </w:tblGrid>
      <w:tr>
        <w:trPr>
          <w:tblHeader w:val="true"/>
        </w:trPr>
        <w:tc>
          <w:tcPr>
            <w:tcW w:w="2799"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Dimension</w:t>
            </w:r>
          </w:p>
        </w:tc>
        <w:tc>
          <w:tcPr>
            <w:tcW w:w="288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Description</w:t>
            </w:r>
          </w:p>
        </w:tc>
        <w:tc>
          <w:tcPr>
            <w:tcW w:w="3681"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Example Features</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Profitability</w:t>
            </w:r>
          </w:p>
        </w:tc>
        <w:tc>
          <w:tcPr>
            <w:tcW w:w="28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Returns and earnings efficiency</w:t>
            </w:r>
          </w:p>
        </w:tc>
        <w:tc>
          <w:tcPr>
            <w:tcW w:w="36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ROA(A/B/C), Operating Gross Margin, EPS</w:t>
            </w:r>
          </w:p>
        </w:tc>
      </w:tr>
      <w:tr>
        <w:trPr/>
        <w:tc>
          <w:tcPr>
            <w:tcW w:w="2799"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Liquidity</w:t>
            </w:r>
          </w:p>
        </w:tc>
        <w:tc>
          <w:tcPr>
            <w:tcW w:w="288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Short-term payment capacity</w:t>
            </w:r>
          </w:p>
        </w:tc>
        <w:tc>
          <w:tcPr>
            <w:tcW w:w="3681"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Cash Flow Rate, Cash Flow Per Share, Current Ratio</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Leverage</w:t>
            </w:r>
          </w:p>
        </w:tc>
        <w:tc>
          <w:tcPr>
            <w:tcW w:w="28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Debt burden and interest cover</w:t>
            </w:r>
          </w:p>
        </w:tc>
        <w:tc>
          <w:tcPr>
            <w:tcW w:w="36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Debt Ratio %, Interest-bearing Debt Rate</w:t>
            </w:r>
          </w:p>
        </w:tc>
      </w:tr>
      <w:tr>
        <w:trPr/>
        <w:tc>
          <w:tcPr>
            <w:tcW w:w="2799"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Solvency</w:t>
            </w:r>
          </w:p>
        </w:tc>
        <w:tc>
          <w:tcPr>
            <w:tcW w:w="288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Long-term obligation coverage</w:t>
            </w:r>
          </w:p>
        </w:tc>
        <w:tc>
          <w:tcPr>
            <w:tcW w:w="3681"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Equity to Liability, Net Value Per Share</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Efficiency</w:t>
            </w:r>
          </w:p>
        </w:tc>
        <w:tc>
          <w:tcPr>
            <w:tcW w:w="28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Asset utilisation effectiveness</w:t>
            </w:r>
          </w:p>
        </w:tc>
        <w:tc>
          <w:tcPr>
            <w:tcW w:w="36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Revenue Per Share, Operating Expense Rate</w:t>
            </w:r>
          </w:p>
        </w:tc>
      </w:tr>
    </w:tbl>
    <w:p>
      <w:pPr>
        <w:pStyle w:val="Normal"/>
        <w:spacing w:before="160" w:after="16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3.2 Class Imbalance</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A critical characteristic of the dataset is its extreme class imbalance. Approximately 96.9% of companies are solvent (non-bankrupt), while only 3.1% are classified as bankrupt. This mirrors the real-world rarity of corporate bankruptcy and presents a fundamental modelling challenge: a naive classifier that always predicts 'non-bankrupt' would achieve 96.9% accuracy without learning any meaningful pattern. Standard accuracy metrics therefore mask true model capability on the minority (bankrupt) class.</w:t>
      </w:r>
    </w:p>
    <w:p>
      <w:pPr>
        <w:pStyle w:val="Normal"/>
        <w:spacing w:before="80" w:after="8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2248"/>
        <w:gridCol w:w="1185"/>
        <w:gridCol w:w="1431"/>
        <w:gridCol w:w="1634"/>
        <w:gridCol w:w="2862"/>
      </w:tblGrid>
      <w:tr>
        <w:trPr>
          <w:tblHeader w:val="true"/>
        </w:trPr>
        <w:tc>
          <w:tcPr>
            <w:tcW w:w="2248"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Class</w:t>
            </w:r>
          </w:p>
        </w:tc>
        <w:tc>
          <w:tcPr>
            <w:tcW w:w="1185"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Label</w:t>
            </w:r>
          </w:p>
        </w:tc>
        <w:tc>
          <w:tcPr>
            <w:tcW w:w="1431"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Count</w:t>
            </w:r>
          </w:p>
        </w:tc>
        <w:tc>
          <w:tcPr>
            <w:tcW w:w="1634"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Proportion</w:t>
            </w:r>
          </w:p>
        </w:tc>
        <w:tc>
          <w:tcPr>
            <w:tcW w:w="2862"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Challenge</w:t>
            </w:r>
          </w:p>
        </w:tc>
      </w:tr>
      <w:tr>
        <w:trPr/>
        <w:tc>
          <w:tcPr>
            <w:tcW w:w="2248"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Non-Bankrupt</w:t>
            </w:r>
          </w:p>
        </w:tc>
        <w:tc>
          <w:tcPr>
            <w:tcW w:w="1185"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w:t>
            </w:r>
          </w:p>
        </w:tc>
        <w:tc>
          <w:tcPr>
            <w:tcW w:w="143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~6,607</w:t>
            </w:r>
          </w:p>
        </w:tc>
        <w:tc>
          <w:tcPr>
            <w:tcW w:w="1634"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96.9%</w:t>
            </w:r>
          </w:p>
        </w:tc>
        <w:tc>
          <w:tcPr>
            <w:tcW w:w="2862"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Dominant class — risk of model bias</w:t>
            </w:r>
          </w:p>
        </w:tc>
      </w:tr>
      <w:tr>
        <w:trPr/>
        <w:tc>
          <w:tcPr>
            <w:tcW w:w="2248"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Bankrupt</w:t>
            </w:r>
          </w:p>
        </w:tc>
        <w:tc>
          <w:tcPr>
            <w:tcW w:w="1185"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w:t>
            </w:r>
          </w:p>
        </w:tc>
        <w:tc>
          <w:tcPr>
            <w:tcW w:w="1431"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~212</w:t>
            </w:r>
          </w:p>
        </w:tc>
        <w:tc>
          <w:tcPr>
            <w:tcW w:w="1634"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3.1%</w:t>
            </w:r>
          </w:p>
        </w:tc>
        <w:tc>
          <w:tcPr>
            <w:tcW w:w="2862"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Rare class — critical to detect correctly</w:t>
            </w:r>
          </w:p>
        </w:tc>
      </w:tr>
    </w:tbl>
    <w:p>
      <w:pPr>
        <w:pStyle w:val="Normal"/>
        <w:spacing w:before="160" w:after="16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3.3 Train/Test Split</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dataset was partitioned using an 80/20 stratified split. The training set contains 5,455 records and the test set contains 1,364 records. A fixed random seed (42) was applied throughout all stochastic operations to ensure full reproducibility. The test set was strictly held out and not used in any hyperparameter tuning step.</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2799"/>
        <w:gridCol w:w="1641"/>
        <w:gridCol w:w="1960"/>
        <w:gridCol w:w="2959"/>
      </w:tblGrid>
      <w:tr>
        <w:trPr>
          <w:tblHeader w:val="true"/>
        </w:trPr>
        <w:tc>
          <w:tcPr>
            <w:tcW w:w="2799"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Split</w:t>
            </w:r>
          </w:p>
        </w:tc>
        <w:tc>
          <w:tcPr>
            <w:tcW w:w="1641"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Records</w:t>
            </w:r>
          </w:p>
        </w:tc>
        <w:tc>
          <w:tcPr>
            <w:tcW w:w="196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 of Dataset</w:t>
            </w:r>
          </w:p>
        </w:tc>
        <w:tc>
          <w:tcPr>
            <w:tcW w:w="2959"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Purpose</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Training Set</w:t>
            </w:r>
          </w:p>
        </w:tc>
        <w:tc>
          <w:tcPr>
            <w:tcW w:w="164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5,455</w:t>
            </w:r>
          </w:p>
        </w:tc>
        <w:tc>
          <w:tcPr>
            <w:tcW w:w="19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80%</w:t>
            </w:r>
          </w:p>
        </w:tc>
        <w:tc>
          <w:tcPr>
            <w:tcW w:w="295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Model fitting and hyperparameter search</w:t>
            </w:r>
          </w:p>
        </w:tc>
      </w:tr>
      <w:tr>
        <w:trPr/>
        <w:tc>
          <w:tcPr>
            <w:tcW w:w="2799"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Test Set</w:t>
            </w:r>
          </w:p>
        </w:tc>
        <w:tc>
          <w:tcPr>
            <w:tcW w:w="1641"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1,364</w:t>
            </w:r>
          </w:p>
        </w:tc>
        <w:tc>
          <w:tcPr>
            <w:tcW w:w="19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20%</w:t>
            </w:r>
          </w:p>
        </w:tc>
        <w:tc>
          <w:tcPr>
            <w:tcW w:w="2959"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Final unbiased performance evaluation</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Oversampled Training</w:t>
            </w:r>
          </w:p>
        </w:tc>
        <w:tc>
          <w:tcPr>
            <w:tcW w:w="164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10,572</w:t>
            </w:r>
          </w:p>
        </w:tc>
        <w:tc>
          <w:tcPr>
            <w:tcW w:w="19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N/A</w:t>
            </w:r>
          </w:p>
        </w:tc>
        <w:tc>
          <w:tcPr>
            <w:tcW w:w="295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Balanced training after RandomOverSampler</w:t>
            </w:r>
          </w:p>
        </w:tc>
      </w:tr>
    </w:tbl>
    <w:p>
      <w:pPr>
        <w:pStyle w:val="Normal"/>
        <w:spacing w:before="160" w:after="16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3.4 Handling Class Imbalance: Random Oversampling</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To counteract the 96.9% / 3.1% class split, Random Oversampling (RandomOverSampler from imbalanced-learn) was applied exclusively to the training set. This technique replicates existing minority class samples to achieve a balanced class distribution. After oversampling, the training set expanded from 5,455 to 10,572 records with balanced classes, allowing the model to learn equally from both classes. Critically, oversampling was not applied to the test set, which retains the natural class distribution to provide a realistic evaluation of real-world performance.</w:t>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4. Modelling Methodology</w:t>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4.1 Algorithm Selection: Random Forest</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Random Forest classifier was selected as the primary modelling algorithm for this project. A Random Forest is an ensemble learning method that constructs a large number of decision trees at training time, with each tree trained on a bootstrapped sample of the data and a random subset of features at each split. Predictions are determined by majority vote across all trees, which reduces variance and overfitting compared to individual decision trees.</w:t>
      </w:r>
    </w:p>
    <w:p>
      <w:pPr>
        <w:pStyle w:val="Normal"/>
        <w:spacing w:before="80" w:after="8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Random Forests are particularly well-suited for this problem for several reasons: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They handle high-dimensional feature spaces (95 features) efficiently without requiring manual feature selection.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They provide built-in feature importance scores derived from impurity reduction across all trees.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They are robust to outliers and do not require feature scaling or normalisation.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They perform well on tabular financial data and are widely used in credit risk modelling.</w:t>
      </w:r>
    </w:p>
    <w:p>
      <w:pPr>
        <w:pStyle w:val="Normal"/>
        <w:spacing w:before="120" w:after="12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4.2 Hyperparameter Optimisation</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A GridSearchCV with 5-fold cross-validation was used to systematically search the hyperparameter space. ROC-AUC was selected as the optimisation scoring metric because it measures discriminatory power across all classification thresholds, making it more appropriate than accuracy for imbalanced classification problems. A total of 12 hyperparameter combinations were evaluated, resulting in 60 model fits.</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3120"/>
        <w:gridCol w:w="3120"/>
        <w:gridCol w:w="3120"/>
      </w:tblGrid>
      <w:tr>
        <w:trPr>
          <w:tblHeader w:val="true"/>
        </w:trPr>
        <w:tc>
          <w:tcPr>
            <w:tcW w:w="312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Hyperparameter</w:t>
            </w:r>
          </w:p>
        </w:tc>
        <w:tc>
          <w:tcPr>
            <w:tcW w:w="312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Values Searched</w:t>
            </w:r>
          </w:p>
        </w:tc>
        <w:tc>
          <w:tcPr>
            <w:tcW w:w="312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Search Strategy</w:t>
            </w:r>
          </w:p>
        </w:tc>
      </w:tr>
      <w:tr>
        <w:trPr/>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n_estimators (trees)</w:t>
            </w:r>
          </w:p>
        </w:tc>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25, 50, 75</w:t>
            </w:r>
          </w:p>
        </w:tc>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Grid Search</w:t>
            </w:r>
          </w:p>
        </w:tc>
      </w:tr>
      <w:tr>
        <w:trPr/>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max_depth</w:t>
            </w:r>
          </w:p>
        </w:tc>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10, 20, 30, 40</w:t>
            </w:r>
          </w:p>
        </w:tc>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Grid Search</w:t>
            </w:r>
          </w:p>
        </w:tc>
      </w:tr>
      <w:tr>
        <w:trPr/>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Scoring metric</w:t>
            </w:r>
          </w:p>
        </w:tc>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ROC-AUC</w:t>
            </w:r>
          </w:p>
        </w:tc>
        <w:tc>
          <w:tcPr>
            <w:tcW w:w="312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5-Fold Stratified CV</w:t>
            </w:r>
          </w:p>
        </w:tc>
      </w:tr>
      <w:tr>
        <w:trPr/>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Total candidates</w:t>
            </w:r>
          </w:p>
        </w:tc>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12 combinations</w:t>
            </w:r>
          </w:p>
        </w:tc>
        <w:tc>
          <w:tcPr>
            <w:tcW w:w="312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60 fits total</w:t>
            </w:r>
          </w:p>
        </w:tc>
      </w:tr>
    </w:tbl>
    <w:p>
      <w:pPr>
        <w:pStyle w:val="Normal"/>
        <w:spacing w:before="160" w:after="16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4.3 Evaluation Framework</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Model performance was evaluated using five complementary metrics to provide a complete picture of classifier behaviour across both classes: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Accuracy: Overall proportion of correctly classified companies. Misleading in isolation given the class imbalance.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Precision: Of companies predicted as bankrupt, the proportion that are genuinely bankrupt. High precision reduces false alarms.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Recall (Sensitivity): Of all truly bankrupt companies, the proportion correctly identified. High recall minimises missed bankruptcies.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F1-Score: Harmonic mean of precision and recall, balancing both dimensions simultaneously.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ROC-AUC: Area under the receiver operating characteristic curve, measuring discriminatory power independent of threshold choice. Used as the primary hyperparameter optimisation criterion.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Baseline comparison: The majority-class baseline accuracy of 96.9% serves as the minimum performance benchmark any model must exceed to add value.</w:t>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5. Model Results &amp; Performance Evaluation</w:t>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5.1 Training vs. Test Accuracy</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tuned Random Forest achieved a perfect training accuracy of 100% on the oversampled training set, and a test accuracy of 89.38% as measured by the model's internal scoring function. The detailed classification report on the held-out test set reveals an overall accuracy of 96%, consistent with the weighted metrics. The gap between training and test accuracy is expected given that: (a) the training set was oversampled to perfect class balance, and (b) the test set retains the real-world imbalanced distribution.</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3599"/>
        <w:gridCol w:w="2001"/>
        <w:gridCol w:w="3760"/>
      </w:tblGrid>
      <w:tr>
        <w:trPr>
          <w:tblHeader w:val="true"/>
        </w:trPr>
        <w:tc>
          <w:tcPr>
            <w:tcW w:w="3599"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Evaluation Set</w:t>
            </w:r>
          </w:p>
        </w:tc>
        <w:tc>
          <w:tcPr>
            <w:tcW w:w="2001"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Accuracy</w:t>
            </w:r>
          </w:p>
        </w:tc>
        <w:tc>
          <w:tcPr>
            <w:tcW w:w="376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Notes</w:t>
            </w:r>
          </w:p>
        </w:tc>
      </w:tr>
      <w:tr>
        <w:trPr/>
        <w:tc>
          <w:tcPr>
            <w:tcW w:w="35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Training (oversampled)</w:t>
            </w:r>
          </w:p>
        </w:tc>
        <w:tc>
          <w:tcPr>
            <w:tcW w:w="2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100.00%</w:t>
            </w:r>
          </w:p>
        </w:tc>
        <w:tc>
          <w:tcPr>
            <w:tcW w:w="3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Perfect fit on balanced training data — expected with deep trees</w:t>
            </w:r>
          </w:p>
        </w:tc>
      </w:tr>
      <w:tr>
        <w:trPr/>
        <w:tc>
          <w:tcPr>
            <w:tcW w:w="3599"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Test (natural dist.)</w:t>
            </w:r>
          </w:p>
        </w:tc>
        <w:tc>
          <w:tcPr>
            <w:tcW w:w="2001"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89.38%</w:t>
            </w:r>
          </w:p>
        </w:tc>
        <w:tc>
          <w:tcPr>
            <w:tcW w:w="3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Model scoring function on imbalanced test set</w:t>
            </w:r>
          </w:p>
        </w:tc>
      </w:tr>
      <w:tr>
        <w:trPr/>
        <w:tc>
          <w:tcPr>
            <w:tcW w:w="35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Test (class report)</w:t>
            </w:r>
          </w:p>
        </w:tc>
        <w:tc>
          <w:tcPr>
            <w:tcW w:w="2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96.00%</w:t>
            </w:r>
          </w:p>
        </w:tc>
        <w:tc>
          <w:tcPr>
            <w:tcW w:w="3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Classification report weighted accuracy — 1,364 records</w:t>
            </w:r>
          </w:p>
        </w:tc>
      </w:tr>
    </w:tbl>
    <w:p>
      <w:pPr>
        <w:pStyle w:val="Normal"/>
        <w:spacing w:before="160" w:after="16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5.2 Classification Report</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table below presents the full per-class and aggregate metrics from the held-out test set of 1,364 company records.</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2700"/>
        <w:gridCol w:w="1664"/>
        <w:gridCol w:w="1665"/>
        <w:gridCol w:w="1665"/>
        <w:gridCol w:w="1666"/>
      </w:tblGrid>
      <w:tr>
        <w:trPr>
          <w:tblHeader w:val="true"/>
        </w:trPr>
        <w:tc>
          <w:tcPr>
            <w:tcW w:w="270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Class</w:t>
            </w:r>
          </w:p>
        </w:tc>
        <w:tc>
          <w:tcPr>
            <w:tcW w:w="1664"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Precision</w:t>
            </w:r>
          </w:p>
        </w:tc>
        <w:tc>
          <w:tcPr>
            <w:tcW w:w="1665"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Recall</w:t>
            </w:r>
          </w:p>
        </w:tc>
        <w:tc>
          <w:tcPr>
            <w:tcW w:w="1665"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F1-Score</w:t>
            </w:r>
          </w:p>
        </w:tc>
        <w:tc>
          <w:tcPr>
            <w:tcW w:w="1666"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Support</w:t>
            </w:r>
          </w:p>
        </w:tc>
      </w:tr>
      <w:tr>
        <w:trPr/>
        <w:tc>
          <w:tcPr>
            <w:tcW w:w="27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Non-Bankrupt (0)</w:t>
            </w:r>
          </w:p>
        </w:tc>
        <w:tc>
          <w:tcPr>
            <w:tcW w:w="1664"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0.98</w:t>
            </w:r>
          </w:p>
        </w:tc>
        <w:tc>
          <w:tcPr>
            <w:tcW w:w="1665"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0.98</w:t>
            </w:r>
          </w:p>
        </w:tc>
        <w:tc>
          <w:tcPr>
            <w:tcW w:w="1665"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0.98</w:t>
            </w:r>
          </w:p>
        </w:tc>
        <w:tc>
          <w:tcPr>
            <w:tcW w:w="1666"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1,313</w:t>
            </w:r>
          </w:p>
        </w:tc>
      </w:tr>
      <w:tr>
        <w:trPr/>
        <w:tc>
          <w:tcPr>
            <w:tcW w:w="27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Bankrupt (1)</w:t>
            </w:r>
          </w:p>
        </w:tc>
        <w:tc>
          <w:tcPr>
            <w:tcW w:w="1664"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0.44</w:t>
            </w:r>
          </w:p>
        </w:tc>
        <w:tc>
          <w:tcPr>
            <w:tcW w:w="1665"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0.47</w:t>
            </w:r>
          </w:p>
        </w:tc>
        <w:tc>
          <w:tcPr>
            <w:tcW w:w="1665"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0.45</w:t>
            </w:r>
          </w:p>
        </w:tc>
        <w:tc>
          <w:tcPr>
            <w:tcW w:w="1666"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51</w:t>
            </w:r>
          </w:p>
        </w:tc>
      </w:tr>
      <w:tr>
        <w:trPr/>
        <w:tc>
          <w:tcPr>
            <w:tcW w:w="27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Macro Avg</w:t>
            </w:r>
          </w:p>
        </w:tc>
        <w:tc>
          <w:tcPr>
            <w:tcW w:w="1664"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0.71</w:t>
            </w:r>
          </w:p>
        </w:tc>
        <w:tc>
          <w:tcPr>
            <w:tcW w:w="1665"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0.72</w:t>
            </w:r>
          </w:p>
        </w:tc>
        <w:tc>
          <w:tcPr>
            <w:tcW w:w="1665"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0.72</w:t>
            </w:r>
          </w:p>
        </w:tc>
        <w:tc>
          <w:tcPr>
            <w:tcW w:w="1666"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1,364</w:t>
            </w:r>
          </w:p>
        </w:tc>
      </w:tr>
      <w:tr>
        <w:trPr/>
        <w:tc>
          <w:tcPr>
            <w:tcW w:w="27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Weighted Avg</w:t>
            </w:r>
          </w:p>
        </w:tc>
        <w:tc>
          <w:tcPr>
            <w:tcW w:w="1664"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0.96</w:t>
            </w:r>
          </w:p>
        </w:tc>
        <w:tc>
          <w:tcPr>
            <w:tcW w:w="1665"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0.96</w:t>
            </w:r>
          </w:p>
        </w:tc>
        <w:tc>
          <w:tcPr>
            <w:tcW w:w="1665"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0.96</w:t>
            </w:r>
          </w:p>
        </w:tc>
        <w:tc>
          <w:tcPr>
            <w:tcW w:w="1666"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1,364</w:t>
            </w:r>
          </w:p>
        </w:tc>
      </w:tr>
    </w:tbl>
    <w:p>
      <w:pPr>
        <w:pStyle w:val="Normal"/>
        <w:spacing w:before="180" w:after="1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5.3 Performance Interpretation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Non-Bankrupt class (Class 0): The model performs exceptionally well, achieving 98% precision and 98% recall. Of the 1,313 genuinely solvent companies in the test set, only a small fraction are incorrectly flagged as at-risk. This high specificity is commercially important: unnecessary credit restrictions or investor exits based on false alarms impose real costs.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Bankrupt class (Class 1): With 51 true bankruptcy cases in the test set, the model achieves 44% precision and 47% recall, yielding an F1-score of 0.45. This reflects the fundamental difficulty of identifying rare financial distress signals from cross-sectional financial ratios alone. The model correctly identifies approximately 24 out of 51 bankrupt companies.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Weighted F1-Score of 0.96 reflects the model's strong aggregate performance when accounting for class frequency, though the unweighted macro average (0.72) better represents balanced performance across both classes.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Baseline comparison: The majority-class baseline achieves 96.9% accuracy by always predicting 'non-bankrupt'. The tuned Random Forest matches and exceeds this baseline while adding genuine predictive signal on the bankrupt minority class — a meaningful advancement over the naive classifier.</w:t>
      </w:r>
    </w:p>
    <w:p>
      <w:pPr>
        <w:pStyle w:val="Normal"/>
        <w:spacing w:before="120" w:after="12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5.4 Threshold Analysis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A configurable classification threshold widget was implemented to enable analysts to explore the precision-recall trade-off dynamically. The default threshold of 0.5 was used for all reported metrics. Lowering the threshold increases recall (more bankruptcies caught) at the cost of more false alarms on solvent companies; raising it improves precision at the cost of missing more true bankruptcies. The optimal deployment threshold should be calibrated against the organisation's specific cost structure for Type I (false alarm) versus Type II (missed bankruptcy) errors.</w:t>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6. Feature Importance Analysis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One of the significant advantages of the Random Forest algorithm is its ability to quantify the relative importance of each feature in the prediction task. Feature importances are computed as the mean decrease in node impurity (Gini impurity) across all trees, averaged over all splits where the feature is used. The top 10 most influential financial ratios identified by the model are presented below.</w:t>
      </w:r>
    </w:p>
    <w:p>
      <w:pPr>
        <w:pStyle w:val="Normal"/>
        <w:spacing w:before="120" w:after="12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90" w:type="dxa"/>
          <w:left w:w="130" w:type="dxa"/>
          <w:bottom w:w="90" w:type="dxa"/>
          <w:right w:w="130" w:type="dxa"/>
        </w:tblCellMar>
      </w:tblPr>
      <w:tblGrid>
        <w:gridCol w:w="5760"/>
        <w:gridCol w:w="1800"/>
        <w:gridCol w:w="1800"/>
      </w:tblGrid>
      <w:tr>
        <w:trPr>
          <w:tblHeader w:val="true"/>
        </w:trPr>
        <w:tc>
          <w:tcPr>
            <w:tcW w:w="576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Financial Ratio / Feature</w:t>
            </w:r>
          </w:p>
        </w:tc>
        <w:tc>
          <w:tcPr>
            <w:tcW w:w="180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Category</w:t>
            </w:r>
          </w:p>
        </w:tc>
        <w:tc>
          <w:tcPr>
            <w:tcW w:w="1800" w:type="dxa"/>
            <w:tcBorders>
              <w:top w:val="single" w:sz="2" w:space="0" w:color="C0C8D8"/>
              <w:left w:val="single" w:sz="2" w:space="0" w:color="C0C8D8"/>
              <w:bottom w:val="single" w:sz="2" w:space="0" w:color="C0C8D8"/>
              <w:right w:val="single" w:sz="2" w:space="0" w:color="C0C8D8"/>
            </w:tcBorders>
            <w:shd w:fill="0D1F3C"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Importance</w:t>
            </w:r>
          </w:p>
        </w:tc>
      </w:tr>
      <w:tr>
        <w:trPr/>
        <w:tc>
          <w:tcPr>
            <w:tcW w:w="5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Net Income to Total Assets</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Profitability</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ROA(C) before interest and depreciation</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Profitability</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Persistent EPS in the Last Four Seasons</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Earnings</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Net Value Per Share (B)</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Valuation</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Cash Flow Per Share</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Liquidity</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Operating Profit Rate</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Profitability</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After-tax net Interest Rate</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Leverage</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Debt Ratio %</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Leverage</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Current Ratio</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Liquidity</w:t>
            </w:r>
          </w:p>
        </w:tc>
        <w:tc>
          <w:tcPr>
            <w:tcW w:w="18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r>
        <w:trPr/>
        <w:tc>
          <w:tcPr>
            <w:tcW w:w="576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111111"/>
                <w:sz w:val="26"/>
                <w:szCs w:val="26"/>
              </w:rPr>
              <w:t>Equity to Liability</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Solvency</w:t>
            </w:r>
          </w:p>
        </w:tc>
        <w:tc>
          <w:tcPr>
            <w:tcW w:w="1800" w:type="dxa"/>
            <w:tcBorders>
              <w:top w:val="single" w:sz="2" w:space="0" w:color="C0C8D8"/>
              <w:left w:val="single" w:sz="2" w:space="0" w:color="C0C8D8"/>
              <w:bottom w:val="single" w:sz="2" w:space="0" w:color="C0C8D8"/>
              <w:right w:val="single" w:sz="2" w:space="0" w:color="C0C8D8"/>
            </w:tcBorders>
            <w:shd w:fill="F5F5F5" w:val="clear"/>
            <w:tcMar>
              <w:top w:w="80" w:type="dxa"/>
              <w:bottom w:w="80" w:type="dxa"/>
            </w:tcM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111111"/>
                <w:sz w:val="26"/>
                <w:szCs w:val="26"/>
              </w:rPr>
              <w:t>High</w:t>
            </w:r>
          </w:p>
        </w:tc>
      </w:tr>
    </w:tbl>
    <w:p>
      <w:pPr>
        <w:pStyle w:val="Normal"/>
        <w:spacing w:before="180" w:after="1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6.1 Interpretation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Profitability ratios — particularly Return on Assets (ROA) variants and Operating Profit Rate — emerge as dominant predictors of bankruptcy risk, consistent with the academic literature. Companies with declining or negative returns are significantly more likely to face insolvency.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Earnings quality measures such as Persistent EPS over the last four seasons capture sustained earnings power, distinguishing structurally profitable firms from those with one-off gains.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Valuation and per-share metrics (Net Value Per Share, Cash Flow Per Share) reflect market and intrinsic valuations, with distressed companies typically exhibiting compressed or negative book values.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Leverage indicators (Debt Ratio, After-tax Net Interest Rate) quantify the financial burden of debt obligations. High leverage reduces financial flexibility and accelerates distress in adverse trading conditions.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Liquidity ratios (Current Ratio, Cash Flow Rate) measure a company's ability to meet short-term obligations. Inadequate liquidity is frequently the proximate trigger of insolvency even when longer-term solvency remains intact.</w:t>
      </w:r>
    </w:p>
    <w:p>
      <w:pPr>
        <w:pStyle w:val="Normal"/>
        <w:spacing w:before="80" w:after="8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These feature importance findings align closely with established corporate finance theory and practitioner frameworks such as the CAMELS rating system, Altman's Z-Score components, and the Piotroski F-Score. This alignment provides an important validation that the model is learning economically meaningful signals rather than spurious statistical artefacts.</w:t>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7. Business Applications &amp; Use Cases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bankruptcy prediction model has broad applicability across financial services, investment management, and corporate governance. The following use cases represent the highest-value deployment opportunities:</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7.1 Credit Risk Management</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Banks, asset managers, and corporate lenders can integrate the model into credit underwriting workflows to automatically screen loan applicants and existing borrowers. Companies flagged as high-risk can be subjected to enhanced due diligence, covenant monitoring, or risk-adjusted pricing, reducing portfolio credit losses.</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7.2 Investment Portfolio Monitoring</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Equity and fixed income investors can apply the model as a portfolio health screening tool, identifying holdings that exhibit deteriorating financial ratios associated with elevated bankruptcy risk. Early identification enables timely position adjustment before market prices fully reflect distress risk.</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7.3 Audit &amp; Regulatory Oversight</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External auditors can use the model to prioritise going-concern assessments, focusing enhanced audit procedures on companies identified as at-risk. Regulatory bodies can deploy the model for systemic risk monitoring across sectors, identifying clusters of financially vulnerable companies.</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7.4 Supplier &amp; Counterparty Risk</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Procurement and treasury functions can use bankruptcy predictions to assess the financial health of key suppliers and counterparties. Identifying at-risk suppliers early enables proactive contingency planning to protect supply chain continuity.</w:t>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8. Limitations &amp; Risk Considerations</w:t>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8.1 Model Performance on Bankrupt Class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most significant limitation of the current model is its modest recall (47%) and precision (44%) on the bankrupt minority class. In practical terms, the model correctly identifies fewer than half of all bankrupt companies at the default threshold. While this performance exceeds the baseline classifier (which detects zero bankruptcies), it is insufficient to serve as the sole basis for high-stakes credit or investment decisions. Threshold calibration, ensemble stacking, and richer feature engineering are recommended paths to improvement.</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8.2 Training Overfitting Signals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model achieves 100% training accuracy — a hallmark of overfitting to the training data. While the model generalises well on the majority class (98% test recall), the low minority class recall suggests that overfitting may be masking poor learning on the bankrupt class. Regularisation through more constrained hyperparameters (shallower max_depth, higher min_samples_leaf) or cross-validated performance on the minority class specifically should be explored.</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8.3 Cross-Sectional Data Limitations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Each company record is treated as an independent observation without temporal context. In practice, bankruptcy is a dynamic process: companies typically show deteriorating trends across multiple reporting periods before insolvency. Incorporating year-over-year ratio changes, trend variables, and multi-period panel data is expected to materially improve bankruptcy class recall.</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8.4 Dataset and Representativeness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geographic, sectoral, and time-period coverage of the dataset is not explicitly documented. Model performance may degrade when applied to companies in sectors or economic environments underrepresented in training. Sector-specific models or contextual features (macroeconomic indicators, industry benchmarks) could improve robustness.</w:t>
      </w:r>
    </w:p>
    <w:p>
      <w:pPr>
        <w:pStyle w:val="Normal"/>
        <w:spacing w:before="80" w:after="80"/>
        <w:rPr>
          <w:rFonts w:ascii="Times New Roman" w:hAnsi="Times New Roman"/>
          <w:sz w:val="26"/>
          <w:szCs w:val="26"/>
        </w:rPr>
      </w:pPr>
      <w:r>
        <w:rPr>
          <w:rFonts w:ascii="Times New Roman" w:hAnsi="Times New Roman"/>
          <w:sz w:val="26"/>
          <w:szCs w:val="26"/>
        </w:rPr>
      </w:r>
    </w:p>
    <w:p>
      <w:pPr>
        <w:pStyle w:val="Heading2"/>
        <w:spacing w:before="260" w:after="100"/>
        <w:rPr>
          <w:rFonts w:ascii="Times New Roman" w:hAnsi="Times New Roman"/>
          <w:sz w:val="26"/>
          <w:szCs w:val="26"/>
        </w:rPr>
      </w:pPr>
      <w:r>
        <w:rPr>
          <w:rFonts w:eastAsia="Arial" w:cs="Arial" w:ascii="Times New Roman" w:hAnsi="Times New Roman"/>
          <w:b/>
          <w:bCs/>
          <w:color w:val="1A3A6B"/>
          <w:sz w:val="26"/>
          <w:szCs w:val="26"/>
        </w:rPr>
        <w:t>8.5 Ethical &amp; Legal Considerations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Automated bankruptcy predictions must not be used as the sole basis for adverse decisions affecting companies, employees, or creditors. Human expert review is essential, particularly for borderline cases.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Model outputs should be clearly communicated as probabilistic risk indicators rather than definitive predictions of insolvency.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Compliance with applicable financial regulations governing the use of algorithmic tools in lending, investment, and credit assessment is mandatory prior to deployment.</w:t>
      </w:r>
    </w:p>
    <w:p>
      <w:pPr>
        <w:pStyle w:val="Heading1"/>
        <w:spacing w:before="380" w:after="100"/>
        <w:rPr>
          <w:rFonts w:eastAsia="Arial" w:cs="Arial"/>
          <w:b/>
          <w:b/>
          <w:bCs/>
          <w:color w:val="0D1F3C"/>
        </w:rPr>
      </w:pPr>
      <w:r>
        <w:rPr>
          <w:rFonts w:ascii="Times New Roman" w:hAnsi="Times New Roman"/>
          <w:sz w:val="26"/>
          <w:szCs w:val="26"/>
        </w:rPr>
      </w:r>
    </w:p>
    <w:p>
      <w:pPr>
        <w:pStyle w:val="Heading1"/>
        <w:spacing w:before="380" w:after="100"/>
        <w:rPr>
          <w:rFonts w:ascii="Times New Roman" w:hAnsi="Times New Roman"/>
          <w:sz w:val="26"/>
          <w:szCs w:val="26"/>
        </w:rPr>
      </w:pPr>
      <w:r>
        <w:rPr>
          <w:rFonts w:eastAsia="Arial" w:cs="Arial" w:ascii="Times New Roman" w:hAnsi="Times New Roman"/>
          <w:b/>
          <w:bCs/>
          <w:color w:val="0D1F3C"/>
          <w:sz w:val="26"/>
          <w:szCs w:val="26"/>
        </w:rPr>
        <w:t>9. Conclusions &amp; Recommendations</w:t>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This project has successfully developed a Random Forest-based bankruptcy prediction system from a high-dimensional financial ratio dataset. The model demonstrates strong overall performance (96% test accuracy, 0.98 weighted F1-score) and is particularly effective at identifying solvent companies, which is critical for minimising false alarms in credit and investment applications. The 47% recall on the bankrupt class, while exceeding the baseline, identifies clear areas for further development.</w:t>
      </w:r>
    </w:p>
    <w:p>
      <w:pPr>
        <w:pStyle w:val="Normal"/>
        <w:spacing w:before="100" w:after="100"/>
        <w:rPr>
          <w:rFonts w:ascii="Times New Roman" w:hAnsi="Times New Roman"/>
          <w:sz w:val="26"/>
          <w:szCs w:val="26"/>
        </w:rPr>
      </w:pPr>
      <w:r>
        <w:rPr>
          <w:rFonts w:ascii="Times New Roman" w:hAnsi="Times New Roman"/>
          <w:sz w:val="26"/>
          <w:szCs w:val="26"/>
        </w:rPr>
      </w:r>
    </w:p>
    <w:p>
      <w:pPr>
        <w:pStyle w:val="Normal"/>
        <w:spacing w:before="80" w:after="130"/>
        <w:jc w:val="both"/>
        <w:rPr>
          <w:rFonts w:ascii="Times New Roman" w:hAnsi="Times New Roman"/>
          <w:sz w:val="26"/>
          <w:szCs w:val="26"/>
        </w:rPr>
      </w:pPr>
      <w:r>
        <w:rPr>
          <w:rFonts w:eastAsia="Arial" w:cs="Arial" w:ascii="Times New Roman" w:hAnsi="Times New Roman"/>
          <w:color w:val="111111"/>
          <w:sz w:val="26"/>
          <w:szCs w:val="26"/>
        </w:rPr>
        <w:t>The following recommendations are proposed to maximise the model's analytical and commercial value:</w:t>
      </w:r>
    </w:p>
    <w:p>
      <w:pPr>
        <w:pStyle w:val="Normal"/>
        <w:spacing w:before="80" w:after="80"/>
        <w:rPr>
          <w:rFonts w:ascii="Times New Roman" w:hAnsi="Times New Roman"/>
          <w:sz w:val="26"/>
          <w:szCs w:val="26"/>
        </w:rPr>
      </w:pPr>
      <w:r>
        <w:rPr>
          <w:rFonts w:ascii="Times New Roman" w:hAnsi="Times New Roman"/>
          <w:sz w:val="26"/>
          <w:szCs w:val="26"/>
        </w:rPr>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Deploy the model as a first-pass screening layer within credit risk, investment monitoring, or audit workflows, with human expert review applied to all flagged companies before consequential decisions are made.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Calibrate the classification threshold based on a formal cost-benefit analysis of false positive (unnecessary intervention cost) versus false negative (missed bankruptcy loss) outcomes. Lowering the threshold to approximately 0.3 may meaningfully improve bankruptcy recall at an acceptable false alarm rate.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Explore alternative and complementary algorithms including Gradient Boosting (XGBoost, LightGBM) and cost-sensitive learning approaches that directly penalise minority class misclassification, which may improve bankrupt class recall.</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Enrich the feature set with temporal trend variables (year-over-year ratio changes, 3-year moving averages) and macroeconomic contextual features (interest rate environment, sector growth rates) to capture deterioration trajectories beyond the static snapshot.</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Conduct a SHAP (SHapley Additive exPlanations) analysis to generate per-company, per-prediction explanations of the bankruptcy risk score, enhancing interpretability for credit analysts, auditors, and regulators.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Establish a model monitoring framework to track the distribution of prediction scores over time, detect concept drift as economic conditions evolve, and trigger scheduled retraining with refreshed labelled data.</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Perform a fairness and robustness audit to ensure that model performance is consistent across sectors, company sizes, and geographic regions represented in the data.</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6DA4"/>
      </w:pBdr>
      <w:tabs>
        <w:tab w:val="clear" w:pos="720"/>
        <w:tab w:val="right" w:pos="9026" w:leader="none"/>
      </w:tabs>
      <w:rPr/>
    </w:pPr>
    <w:r>
      <w:rPr>
        <w:rFonts w:eastAsia="Arial" w:cs="Arial"/>
        <w:color w:val="595959"/>
        <w:sz w:val="16"/>
        <w:szCs w:val="16"/>
      </w:rPr>
      <w:tab/>
      <w:tab/>
      <w:t xml:space="preserve">Page </w:t>
    </w:r>
    <w:r>
      <w:rPr/>
      <w:fldChar w:fldCharType="begin"/>
    </w:r>
    <w:r>
      <w:rPr/>
      <w:instrText xml:space="preserve"> PAGE </w:instrText>
    </w:r>
    <w:r>
      <w:rPr/>
      <w:fldChar w:fldCharType="separate"/>
    </w:r>
    <w:r>
      <w:rPr/>
      <w:t>13</w:t>
    </w:r>
    <w:r>
      <w:rPr/>
      <w:fldChar w:fldCharType="end"/>
    </w:r>
    <w:r>
      <w:rPr>
        <w:rFonts w:eastAsia="Arial" w:cs="Arial"/>
        <w:color w:val="595959"/>
        <w:sz w:val="16"/>
        <w:szCs w:val="16"/>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6DA4"/>
      </w:pBdr>
      <w:tabs>
        <w:tab w:val="clear" w:pos="720"/>
        <w:tab w:val="right" w:pos="9026" w:leader="none"/>
      </w:tabs>
      <w:spacing w:before="0" w:after="100"/>
      <w:rPr/>
    </w:pPr>
    <w:r>
      <w:rPr>
        <w:rFonts w:eastAsia="Arial" w:cs="Arial"/>
        <w:b/>
        <w:bCs/>
        <w:color w:val="0D1F3C"/>
        <w:sz w:val="18"/>
        <w:szCs w:val="18"/>
      </w:rPr>
      <w:t>COMPANY BANKRUPTCY PREDICTION</w:t>
    </w:r>
    <w:r>
      <w:rPr>
        <w:rFonts w:eastAsia="Arial" w:cs="Arial"/>
        <w:color w:val="595959"/>
        <w:sz w:val="18"/>
        <w:szCs w:val="18"/>
      </w:rPr>
      <w:t xml:space="preserve">  |  Business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80" w:after="100"/>
      <w:outlineLvl w:val="0"/>
    </w:pPr>
    <w:rPr>
      <w:rFonts w:ascii="Arial" w:hAnsi="Arial" w:eastAsia="Arial" w:cs="Arial"/>
      <w:b/>
      <w:bCs/>
      <w:color w:val="0D1F3C"/>
      <w:sz w:val="34"/>
      <w:szCs w:val="34"/>
    </w:rPr>
  </w:style>
  <w:style w:type="paragraph" w:styleId="Heading2">
    <w:name w:val="Heading 2"/>
    <w:basedOn w:val="Heading"/>
    <w:qFormat/>
    <w:pPr>
      <w:spacing w:before="260" w:after="100"/>
      <w:outlineLvl w:val="1"/>
    </w:pPr>
    <w:rPr>
      <w:rFonts w:ascii="Arial" w:hAnsi="Arial" w:eastAsia="Arial" w:cs="Arial"/>
      <w:b/>
      <w:bCs/>
      <w:color w:val="1A3A6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Edit_Docx_PLUS/7.4.0.3$Windows_X86_64 LibreOffice_project/</Application>
  <AppVersion>15.0000</AppVersion>
  <Pages>13</Pages>
  <Words>2929</Words>
  <Characters>18508</Characters>
  <CharactersWithSpaces>21148</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2026-03-10T05:34:03Z</dcterms:created>
  <dc:creator>Un-named</dc:creator>
  <dc:description/>
  <dc:language>en-US</dc:language>
  <cp:lastModifiedBy/>
  <dcterms:modified xsi:type="dcterms:W3CDTF">2026-03-10T08:41:24Z</dcterms:modified>
  <cp:revision>2</cp:revision>
  <dc:subject/>
  <dc:title/>
</cp:coreProperties>
</file>