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D407D3">
      <w:pPr>
        <w:pBdr>
          <w:bottom w:val="single" w:color="1F3864" w:sz="40" w:space="1"/>
        </w:pBdr>
        <w:spacing w:before="0" w:after="0"/>
      </w:pPr>
    </w:p>
    <w:p w14:paraId="7B4B4F1B">
      <w:pPr>
        <w:spacing w:before="80" w:after="0"/>
      </w:pPr>
    </w:p>
    <w:p w14:paraId="7491033E">
      <w:pPr>
        <w:spacing w:before="80" w:after="0"/>
      </w:pPr>
    </w:p>
    <w:p w14:paraId="1104BC45">
      <w:pPr>
        <w:spacing w:before="80" w:after="0"/>
      </w:pPr>
    </w:p>
    <w:p w14:paraId="17F3300A">
      <w:pPr>
        <w:spacing w:before="80" w:after="0"/>
      </w:pPr>
    </w:p>
    <w:p w14:paraId="409AA13C">
      <w:pPr>
        <w:spacing w:before="0" w:after="40"/>
        <w:jc w:val="center"/>
      </w:pPr>
      <w:r>
        <w:rPr>
          <w:rFonts w:ascii="Arial" w:hAnsi="Arial" w:eastAsia="Arial" w:cs="Arial"/>
          <w:b/>
          <w:bCs/>
          <w:caps/>
          <w:color w:val="1F3864"/>
          <w:sz w:val="52"/>
          <w:szCs w:val="52"/>
        </w:rPr>
        <w:t>BUSINESS PROJECT REPORT</w:t>
      </w:r>
    </w:p>
    <w:p w14:paraId="673A3D6C">
      <w:pPr>
        <w:pBdr>
          <w:bottom w:val="single" w:color="2E75B6" w:sz="12" w:space="4"/>
        </w:pBdr>
        <w:spacing w:before="0" w:after="80"/>
        <w:jc w:val="center"/>
      </w:pPr>
      <w:r>
        <w:rPr>
          <w:rFonts w:ascii="Arial" w:hAnsi="Arial" w:eastAsia="Arial" w:cs="Arial"/>
          <w:b w:val="0"/>
          <w:bCs w:val="0"/>
          <w:color w:val="2E75B6"/>
          <w:sz w:val="40"/>
          <w:szCs w:val="40"/>
        </w:rPr>
        <w:t>Actuary Salary Prediction Model</w:t>
      </w:r>
    </w:p>
    <w:p w14:paraId="55A1B85E">
      <w:pPr>
        <w:spacing w:before="80" w:after="0"/>
      </w:pPr>
    </w:p>
    <w:p w14:paraId="79E88633">
      <w:pPr>
        <w:spacing w:before="80" w:after="0"/>
      </w:pP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600"/>
      </w:tblGrid>
      <w:tr w14:paraId="53F59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0D0D0" w:sz="4" w:space="0"/>
              <w:left w:val="single" w:color="D0D0D0" w:sz="4" w:space="0"/>
              <w:bottom w:val="single" w:color="D0D0D0" w:sz="4" w:space="0"/>
              <w:right w:val="single" w:color="D0D0D0" w:sz="4" w:space="0"/>
            </w:tcBorders>
            <w:shd w:val="clear" w:color="auto" w:fill="1F3864"/>
            <w:tcMar>
              <w:top w:w="80" w:type="dxa"/>
              <w:left w:w="120" w:type="dxa"/>
              <w:bottom w:w="80" w:type="dxa"/>
              <w:right w:w="120" w:type="dxa"/>
            </w:tcMar>
            <w:vAlign w:val="center"/>
          </w:tcPr>
          <w:p w14:paraId="4A943999">
            <w:pPr>
              <w:jc w:val="left"/>
            </w:pPr>
            <w:r>
              <w:rPr>
                <w:rFonts w:ascii="Arial" w:hAnsi="Arial" w:eastAsia="Arial" w:cs="Arial"/>
                <w:b/>
                <w:bCs/>
                <w:color w:val="FFFFFF"/>
                <w:sz w:val="20"/>
                <w:szCs w:val="20"/>
              </w:rPr>
              <w:t>Author</w:t>
            </w:r>
          </w:p>
        </w:tc>
        <w:tc>
          <w:tcPr>
            <w:tcW w:w="360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3BC71BBF">
            <w:pPr>
              <w:jc w:val="left"/>
            </w:pPr>
            <w:r>
              <w:rPr>
                <w:rFonts w:ascii="Arial" w:hAnsi="Arial" w:eastAsia="Arial" w:cs="Arial"/>
                <w:b w:val="0"/>
                <w:bCs w:val="0"/>
                <w:color w:val="404040"/>
                <w:sz w:val="20"/>
                <w:szCs w:val="20"/>
              </w:rPr>
              <w:t>Steve</w:t>
            </w:r>
          </w:p>
        </w:tc>
      </w:tr>
      <w:tr w14:paraId="6EDD8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0D0D0" w:sz="4" w:space="0"/>
              <w:left w:val="single" w:color="D0D0D0" w:sz="4" w:space="0"/>
              <w:bottom w:val="single" w:color="D0D0D0" w:sz="4" w:space="0"/>
              <w:right w:val="single" w:color="D0D0D0" w:sz="4" w:space="0"/>
            </w:tcBorders>
            <w:shd w:val="clear" w:color="auto" w:fill="1F3864"/>
            <w:tcMar>
              <w:top w:w="80" w:type="dxa"/>
              <w:left w:w="120" w:type="dxa"/>
              <w:bottom w:w="80" w:type="dxa"/>
              <w:right w:w="120" w:type="dxa"/>
            </w:tcMar>
            <w:vAlign w:val="center"/>
          </w:tcPr>
          <w:p w14:paraId="3EC95229">
            <w:pPr>
              <w:jc w:val="left"/>
            </w:pPr>
            <w:r>
              <w:rPr>
                <w:rFonts w:ascii="Arial" w:hAnsi="Arial" w:eastAsia="Arial" w:cs="Arial"/>
                <w:b/>
                <w:bCs/>
                <w:color w:val="FFFFFF"/>
                <w:sz w:val="20"/>
                <w:szCs w:val="20"/>
              </w:rPr>
              <w:t>Date</w:t>
            </w:r>
          </w:p>
        </w:tc>
        <w:tc>
          <w:tcPr>
            <w:tcW w:w="360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3F4B97F6">
            <w:pPr>
              <w:jc w:val="left"/>
            </w:pPr>
            <w:r>
              <w:rPr>
                <w:rFonts w:ascii="Arial" w:hAnsi="Arial" w:eastAsia="Arial" w:cs="Arial"/>
                <w:b w:val="0"/>
                <w:bCs w:val="0"/>
                <w:color w:val="404040"/>
                <w:sz w:val="20"/>
                <w:szCs w:val="20"/>
              </w:rPr>
              <w:t>February 2026</w:t>
            </w:r>
          </w:p>
        </w:tc>
      </w:tr>
      <w:tr w14:paraId="212D5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0D0D0" w:sz="4" w:space="0"/>
              <w:left w:val="single" w:color="D0D0D0" w:sz="4" w:space="0"/>
              <w:bottom w:val="single" w:color="D0D0D0" w:sz="4" w:space="0"/>
              <w:right w:val="single" w:color="D0D0D0" w:sz="4" w:space="0"/>
            </w:tcBorders>
            <w:shd w:val="clear" w:color="auto" w:fill="1F3864"/>
            <w:tcMar>
              <w:top w:w="80" w:type="dxa"/>
              <w:left w:w="120" w:type="dxa"/>
              <w:bottom w:w="80" w:type="dxa"/>
              <w:right w:w="120" w:type="dxa"/>
            </w:tcMar>
            <w:vAlign w:val="center"/>
          </w:tcPr>
          <w:p w14:paraId="72E898ED">
            <w:pPr>
              <w:jc w:val="left"/>
            </w:pPr>
            <w:r>
              <w:rPr>
                <w:rFonts w:ascii="Arial" w:hAnsi="Arial" w:eastAsia="Arial" w:cs="Arial"/>
                <w:b/>
                <w:bCs/>
                <w:color w:val="FFFFFF"/>
                <w:sz w:val="20"/>
                <w:szCs w:val="20"/>
              </w:rPr>
              <w:t>Domain</w:t>
            </w:r>
          </w:p>
        </w:tc>
        <w:tc>
          <w:tcPr>
            <w:tcW w:w="360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342CB56B">
            <w:pPr>
              <w:jc w:val="left"/>
            </w:pPr>
            <w:r>
              <w:rPr>
                <w:rFonts w:hint="default" w:cs="Arial"/>
                <w:b w:val="0"/>
                <w:bCs w:val="0"/>
                <w:color w:val="404040"/>
                <w:sz w:val="20"/>
                <w:szCs w:val="20"/>
                <w:lang/>
              </w:rPr>
              <w:t>Economics &amp; Statistics</w:t>
            </w:r>
            <w:r>
              <w:rPr>
                <w:rFonts w:ascii="Arial" w:hAnsi="Arial" w:eastAsia="Arial" w:cs="Arial"/>
                <w:b w:val="0"/>
                <w:bCs w:val="0"/>
                <w:color w:val="404040"/>
                <w:sz w:val="20"/>
                <w:szCs w:val="20"/>
              </w:rPr>
              <w:t xml:space="preserve"> / Data Science</w:t>
            </w:r>
          </w:p>
        </w:tc>
      </w:tr>
    </w:tbl>
    <w:p w14:paraId="0D6342DC">
      <w:pPr>
        <w:spacing w:before="80" w:after="0"/>
      </w:pPr>
    </w:p>
    <w:p w14:paraId="3FB97120">
      <w:pPr>
        <w:spacing w:before="80" w:after="0"/>
      </w:pPr>
    </w:p>
    <w:p w14:paraId="47D5EC74">
      <w:pPr>
        <w:spacing w:before="80" w:after="0"/>
      </w:pPr>
    </w:p>
    <w:p w14:paraId="4366DA04">
      <w:pPr>
        <w:spacing w:before="80" w:after="0"/>
      </w:pPr>
    </w:p>
    <w:p w14:paraId="2267D983">
      <w:pPr>
        <w:spacing w:before="0" w:after="0"/>
        <w:sectPr>
          <w:pgSz w:w="12240" w:h="15840"/>
          <w:pgMar w:top="1440" w:right="1440" w:bottom="1440" w:left="1440" w:header="708" w:footer="708" w:gutter="0"/>
          <w:cols w:space="720" w:num="1"/>
          <w:docGrid w:linePitch="360" w:charSpace="0"/>
        </w:sectPr>
      </w:pPr>
    </w:p>
    <w:p w14:paraId="7A0A07A4">
      <w:pPr>
        <w:pStyle w:val="2"/>
        <w:spacing w:before="300" w:after="80"/>
      </w:pPr>
      <w:r>
        <w:rPr>
          <w:rFonts w:ascii="Arial" w:hAnsi="Arial" w:eastAsia="Arial" w:cs="Arial"/>
          <w:b/>
          <w:bCs/>
          <w:color w:val="1F3864"/>
          <w:sz w:val="36"/>
          <w:szCs w:val="36"/>
        </w:rPr>
        <w:t>1. Executive Summary</w:t>
      </w:r>
    </w:p>
    <w:p w14:paraId="4A75E04D">
      <w:pPr>
        <w:pBdr>
          <w:bottom w:val="single" w:color="2E75B6" w:sz="8" w:space="1"/>
        </w:pBdr>
        <w:spacing w:before="60" w:after="60"/>
      </w:pPr>
    </w:p>
    <w:p w14:paraId="4D08F4FD">
      <w:pPr>
        <w:spacing w:before="60" w:after="60"/>
        <w:jc w:val="left"/>
      </w:pPr>
      <w:r>
        <w:rPr>
          <w:rFonts w:ascii="Arial" w:hAnsi="Arial" w:eastAsia="Arial" w:cs="Arial"/>
          <w:b w:val="0"/>
          <w:bCs w:val="0"/>
          <w:color w:val="404040"/>
          <w:sz w:val="20"/>
          <w:szCs w:val="20"/>
        </w:rPr>
        <w:t>This report documents the end-to-end development of a machine learning system designed to predict the mid-point salary of actuaries across four distinct industry sectors in the United States. Leveraging a dataset of 138 curated records sourced from actuarial compensation surveys</w:t>
      </w:r>
      <w:r>
        <w:rPr>
          <w:rFonts w:hint="default" w:cs="Arial"/>
          <w:b w:val="0"/>
          <w:bCs w:val="0"/>
          <w:color w:val="404040"/>
          <w:sz w:val="20"/>
          <w:szCs w:val="20"/>
          <w:lang/>
        </w:rPr>
        <w:t xml:space="preserve"> on </w:t>
      </w:r>
      <w:r>
        <w:rPr>
          <w:rFonts w:hint="default"/>
          <w:b w:val="0"/>
          <w:bCs w:val="0"/>
          <w:color w:val="404040"/>
          <w:sz w:val="20"/>
          <w:szCs w:val="20"/>
          <w:lang/>
        </w:rPr>
        <w:t>https://www.kaggle.com/</w:t>
      </w:r>
      <w:r>
        <w:rPr>
          <w:rFonts w:ascii="Arial" w:hAnsi="Arial" w:eastAsia="Arial" w:cs="Arial"/>
          <w:b w:val="0"/>
          <w:bCs w:val="0"/>
          <w:color w:val="404040"/>
          <w:sz w:val="20"/>
          <w:szCs w:val="20"/>
        </w:rPr>
        <w:t>, the project encompasses data ingestion, exploratory analysis, feature engineering, multi-model benchmarking, and the deployment of an interactive prediction interface.</w:t>
      </w:r>
    </w:p>
    <w:p w14:paraId="5D487706">
      <w:pPr>
        <w:spacing w:before="80" w:after="0"/>
      </w:pPr>
    </w:p>
    <w:p w14:paraId="77D5D35C">
      <w:pPr>
        <w:spacing w:before="60" w:after="60"/>
        <w:jc w:val="left"/>
      </w:pPr>
      <w:r>
        <w:rPr>
          <w:rFonts w:ascii="Arial" w:hAnsi="Arial" w:eastAsia="Arial" w:cs="Arial"/>
          <w:b w:val="0"/>
          <w:bCs w:val="0"/>
          <w:color w:val="404040"/>
          <w:sz w:val="20"/>
          <w:szCs w:val="20"/>
        </w:rPr>
        <w:t>The final selected model — a Linear Regression pipeline — achieved a near-perfect R² score of 1.0 on the hold-out test set, demonstrating that mid-point actuary salaries are highly predictable from the available features: industry sector, number of professional examinations passed, years of experience, and the low-end and high-end salary benchmarks. The model has been packaged into a user-friendly widget that allows HR professionals, hiring managers, and compensation analysts to generate salary estimates in real time.</w:t>
      </w:r>
    </w:p>
    <w:p w14:paraId="347EEAE8">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31954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0D0D0" w:sz="4" w:space="0"/>
              <w:left w:val="single" w:color="D0D0D0" w:sz="4" w:space="0"/>
              <w:bottom w:val="single" w:color="D0D0D0" w:sz="4" w:space="0"/>
              <w:right w:val="single" w:color="D0D0D0" w:sz="4" w:space="0"/>
            </w:tcBorders>
            <w:shd w:val="clear" w:color="auto" w:fill="2E75B6"/>
            <w:tcMar>
              <w:top w:w="80" w:type="dxa"/>
              <w:left w:w="120" w:type="dxa"/>
              <w:bottom w:w="80" w:type="dxa"/>
              <w:right w:w="120" w:type="dxa"/>
            </w:tcMar>
            <w:vAlign w:val="center"/>
          </w:tcPr>
          <w:p w14:paraId="2B642B4C">
            <w:pPr>
              <w:jc w:val="left"/>
            </w:pPr>
            <w:r>
              <w:rPr>
                <w:rFonts w:ascii="Arial" w:hAnsi="Arial" w:eastAsia="Arial" w:cs="Arial"/>
                <w:b/>
                <w:bCs/>
                <w:color w:val="FFFFFF"/>
                <w:sz w:val="18"/>
                <w:szCs w:val="18"/>
              </w:rPr>
              <w:t>Key Outcome</w:t>
            </w:r>
          </w:p>
        </w:tc>
        <w:tc>
          <w:tcPr>
            <w:tcW w:w="6240" w:type="dxa"/>
            <w:tcBorders>
              <w:top w:val="single" w:color="D0D0D0" w:sz="4" w:space="0"/>
              <w:left w:val="single" w:color="D0D0D0" w:sz="4" w:space="0"/>
              <w:bottom w:val="single" w:color="D0D0D0" w:sz="4" w:space="0"/>
              <w:right w:val="single" w:color="D0D0D0" w:sz="4" w:space="0"/>
            </w:tcBorders>
            <w:shd w:val="clear" w:color="auto" w:fill="2E75B6"/>
            <w:tcMar>
              <w:top w:w="80" w:type="dxa"/>
              <w:left w:w="120" w:type="dxa"/>
              <w:bottom w:w="80" w:type="dxa"/>
              <w:right w:w="120" w:type="dxa"/>
            </w:tcMar>
            <w:vAlign w:val="center"/>
          </w:tcPr>
          <w:p w14:paraId="3F3A42DD">
            <w:pPr>
              <w:jc w:val="left"/>
            </w:pPr>
            <w:r>
              <w:rPr>
                <w:rFonts w:ascii="Arial" w:hAnsi="Arial" w:eastAsia="Arial" w:cs="Arial"/>
                <w:b/>
                <w:bCs/>
                <w:color w:val="FFFFFF"/>
                <w:sz w:val="18"/>
                <w:szCs w:val="18"/>
              </w:rPr>
              <w:t>Detail</w:t>
            </w:r>
          </w:p>
        </w:tc>
      </w:tr>
      <w:tr w14:paraId="77998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2D0D6240">
            <w:pPr>
              <w:jc w:val="left"/>
            </w:pPr>
            <w:r>
              <w:rPr>
                <w:rFonts w:ascii="Arial" w:hAnsi="Arial" w:eastAsia="Arial" w:cs="Arial"/>
                <w:b w:val="0"/>
                <w:bCs w:val="0"/>
                <w:color w:val="404040"/>
                <w:sz w:val="18"/>
                <w:szCs w:val="18"/>
              </w:rPr>
              <w:t>Dataset Size</w:t>
            </w:r>
          </w:p>
        </w:tc>
        <w:tc>
          <w:tcPr>
            <w:tcW w:w="624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6FA34C3B">
            <w:pPr>
              <w:jc w:val="left"/>
            </w:pPr>
            <w:r>
              <w:rPr>
                <w:rFonts w:ascii="Arial" w:hAnsi="Arial" w:eastAsia="Arial" w:cs="Arial"/>
                <w:b w:val="0"/>
                <w:bCs w:val="0"/>
                <w:color w:val="404040"/>
                <w:sz w:val="18"/>
                <w:szCs w:val="18"/>
              </w:rPr>
              <w:t>138 records × 6 features</w:t>
            </w:r>
          </w:p>
        </w:tc>
      </w:tr>
      <w:tr w14:paraId="565C6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6EB3CF7B">
            <w:pPr>
              <w:jc w:val="left"/>
            </w:pPr>
            <w:r>
              <w:rPr>
                <w:rFonts w:ascii="Arial" w:hAnsi="Arial" w:eastAsia="Arial" w:cs="Arial"/>
                <w:b w:val="0"/>
                <w:bCs w:val="0"/>
                <w:color w:val="404040"/>
                <w:sz w:val="18"/>
                <w:szCs w:val="18"/>
              </w:rPr>
              <w:t>Target Variable</w:t>
            </w:r>
          </w:p>
        </w:tc>
        <w:tc>
          <w:tcPr>
            <w:tcW w:w="624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0DF9FDED">
            <w:pPr>
              <w:jc w:val="left"/>
            </w:pPr>
            <w:r>
              <w:rPr>
                <w:rFonts w:ascii="Arial" w:hAnsi="Arial" w:eastAsia="Arial" w:cs="Arial"/>
                <w:b w:val="0"/>
                <w:bCs w:val="0"/>
                <w:color w:val="404040"/>
                <w:sz w:val="18"/>
                <w:szCs w:val="18"/>
              </w:rPr>
              <w:t>salary_mid (thousands USD)</w:t>
            </w:r>
          </w:p>
        </w:tc>
      </w:tr>
      <w:tr w14:paraId="091B7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0D00BD0A">
            <w:pPr>
              <w:jc w:val="left"/>
            </w:pPr>
            <w:r>
              <w:rPr>
                <w:rFonts w:ascii="Arial" w:hAnsi="Arial" w:eastAsia="Arial" w:cs="Arial"/>
                <w:b w:val="0"/>
                <w:bCs w:val="0"/>
                <w:color w:val="404040"/>
                <w:sz w:val="18"/>
                <w:szCs w:val="18"/>
              </w:rPr>
              <w:t>Best Model</w:t>
            </w:r>
          </w:p>
        </w:tc>
        <w:tc>
          <w:tcPr>
            <w:tcW w:w="624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35DBCFD7">
            <w:pPr>
              <w:jc w:val="left"/>
            </w:pPr>
            <w:r>
              <w:rPr>
                <w:rFonts w:ascii="Arial" w:hAnsi="Arial" w:eastAsia="Arial" w:cs="Arial"/>
                <w:b w:val="0"/>
                <w:bCs w:val="0"/>
                <w:color w:val="404040"/>
                <w:sz w:val="18"/>
                <w:szCs w:val="18"/>
              </w:rPr>
              <w:t>Linear Regression (sklearn Pipeline)</w:t>
            </w:r>
          </w:p>
        </w:tc>
      </w:tr>
      <w:tr w14:paraId="5D424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27ECA1C3">
            <w:pPr>
              <w:jc w:val="left"/>
            </w:pPr>
            <w:r>
              <w:rPr>
                <w:rFonts w:ascii="Arial" w:hAnsi="Arial" w:eastAsia="Arial" w:cs="Arial"/>
                <w:b w:val="0"/>
                <w:bCs w:val="0"/>
                <w:color w:val="404040"/>
                <w:sz w:val="18"/>
                <w:szCs w:val="18"/>
              </w:rPr>
              <w:t>R² Score</w:t>
            </w:r>
          </w:p>
        </w:tc>
        <w:tc>
          <w:tcPr>
            <w:tcW w:w="624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47F5E07E">
            <w:pPr>
              <w:jc w:val="left"/>
            </w:pPr>
            <w:r>
              <w:rPr>
                <w:rFonts w:ascii="Arial" w:hAnsi="Arial" w:eastAsia="Arial" w:cs="Arial"/>
                <w:b w:val="0"/>
                <w:bCs w:val="0"/>
                <w:color w:val="404040"/>
                <w:sz w:val="18"/>
                <w:szCs w:val="18"/>
              </w:rPr>
              <w:t>1.000</w:t>
            </w:r>
          </w:p>
        </w:tc>
      </w:tr>
      <w:tr w14:paraId="232B3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5761FE7B">
            <w:pPr>
              <w:jc w:val="left"/>
            </w:pPr>
            <w:r>
              <w:rPr>
                <w:rFonts w:ascii="Arial" w:hAnsi="Arial" w:eastAsia="Arial" w:cs="Arial"/>
                <w:b w:val="0"/>
                <w:bCs w:val="0"/>
                <w:color w:val="404040"/>
                <w:sz w:val="18"/>
                <w:szCs w:val="18"/>
              </w:rPr>
              <w:t>Deployment</w:t>
            </w:r>
          </w:p>
        </w:tc>
        <w:tc>
          <w:tcPr>
            <w:tcW w:w="624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1B854008">
            <w:pPr>
              <w:jc w:val="left"/>
            </w:pPr>
            <w:r>
              <w:rPr>
                <w:rFonts w:ascii="Arial" w:hAnsi="Arial" w:eastAsia="Arial" w:cs="Arial"/>
                <w:b w:val="0"/>
                <w:bCs w:val="0"/>
                <w:color w:val="404040"/>
                <w:sz w:val="18"/>
                <w:szCs w:val="18"/>
              </w:rPr>
              <w:t>Jupyter ipywidgets interactive panel</w:t>
            </w:r>
          </w:p>
        </w:tc>
      </w:tr>
    </w:tbl>
    <w:p w14:paraId="0EE16C8E">
      <w:pPr>
        <w:spacing w:before="80" w:after="0"/>
      </w:pPr>
    </w:p>
    <w:p w14:paraId="746CFCCC">
      <w:pPr>
        <w:pStyle w:val="2"/>
        <w:spacing w:before="300" w:after="80"/>
      </w:pPr>
      <w:r>
        <w:rPr>
          <w:rFonts w:ascii="Arial" w:hAnsi="Arial" w:eastAsia="Arial" w:cs="Arial"/>
          <w:b/>
          <w:bCs/>
          <w:color w:val="1F3864"/>
          <w:sz w:val="36"/>
          <w:szCs w:val="36"/>
        </w:rPr>
        <w:t>2. Problem Statement</w:t>
      </w:r>
    </w:p>
    <w:p w14:paraId="3633708C">
      <w:pPr>
        <w:pBdr>
          <w:bottom w:val="single" w:color="2E75B6" w:sz="8" w:space="1"/>
        </w:pBdr>
        <w:spacing w:before="60" w:after="60"/>
      </w:pPr>
    </w:p>
    <w:p w14:paraId="7FD1FAE9">
      <w:pPr>
        <w:spacing w:before="60" w:after="60"/>
        <w:jc w:val="left"/>
      </w:pPr>
      <w:r>
        <w:rPr>
          <w:rFonts w:ascii="Arial" w:hAnsi="Arial" w:eastAsia="Arial" w:cs="Arial"/>
          <w:b w:val="0"/>
          <w:bCs w:val="0"/>
          <w:color w:val="404040"/>
          <w:sz w:val="20"/>
          <w:szCs w:val="20"/>
        </w:rPr>
        <w:t>Actuarial compensation is influenced by a complex interplay of industry sector, professional credentialing (measured by the number of actuarial exams passed), and years of practical experience. For organizations recruiting actuarial talent, the absence of a reliable, data-driven salary benchmark creates two recurring challenges:</w:t>
      </w:r>
    </w:p>
    <w:p w14:paraId="7532A28B">
      <w:pPr>
        <w:spacing w:before="80" w:after="0"/>
      </w:pPr>
    </w:p>
    <w:p w14:paraId="041236B3">
      <w:pPr>
        <w:pStyle w:val="14"/>
        <w:numPr>
          <w:ilvl w:val="0"/>
          <w:numId w:val="1"/>
        </w:numPr>
        <w:spacing w:before="40" w:after="40"/>
      </w:pPr>
      <w:r>
        <w:rPr>
          <w:rFonts w:ascii="Arial" w:hAnsi="Arial" w:eastAsia="Arial" w:cs="Arial"/>
          <w:color w:val="404040"/>
          <w:sz w:val="20"/>
          <w:szCs w:val="20"/>
        </w:rPr>
        <w:t>Compensation benchmarking inaccuracy: Hiring teams rely on broad salary surveys that do not account for granular role parameters, leading to either over-spending or failure to attract qualified candidates.</w:t>
      </w:r>
    </w:p>
    <w:p w14:paraId="784D5951">
      <w:pPr>
        <w:pStyle w:val="14"/>
        <w:numPr>
          <w:ilvl w:val="0"/>
          <w:numId w:val="1"/>
        </w:numPr>
        <w:spacing w:before="40" w:after="40"/>
      </w:pPr>
      <w:r>
        <w:rPr>
          <w:rFonts w:ascii="Arial" w:hAnsi="Arial" w:eastAsia="Arial" w:cs="Arial"/>
          <w:color w:val="404040"/>
          <w:sz w:val="20"/>
          <w:szCs w:val="20"/>
        </w:rPr>
        <w:t>Internal equity gaps: Without a consistent model, pay decisions within the same organisation may diverge, creating retention risks.</w:t>
      </w:r>
    </w:p>
    <w:p w14:paraId="21D141FC">
      <w:pPr>
        <w:spacing w:before="80" w:after="0"/>
      </w:pPr>
    </w:p>
    <w:p w14:paraId="1AE94005">
      <w:pPr>
        <w:spacing w:before="60" w:after="60"/>
        <w:jc w:val="left"/>
      </w:pPr>
      <w:r>
        <w:rPr>
          <w:rFonts w:ascii="Arial" w:hAnsi="Arial" w:eastAsia="Arial" w:cs="Arial"/>
          <w:b w:val="0"/>
          <w:bCs w:val="0"/>
          <w:color w:val="404040"/>
          <w:sz w:val="20"/>
          <w:szCs w:val="20"/>
        </w:rPr>
        <w:t>This project addresses these challenges by building a transparent, reproducible machine learning model that estimates the mid-point salary for any given combination of industry, exam credential level, and experience — enabling fairer, faster, and more defensible compensation decisions.</w:t>
      </w:r>
    </w:p>
    <w:p w14:paraId="2D5D968A">
      <w:pPr>
        <w:spacing w:before="80" w:after="0"/>
      </w:pPr>
    </w:p>
    <w:p w14:paraId="4665DF4B">
      <w:pPr>
        <w:pStyle w:val="2"/>
        <w:spacing w:before="300" w:after="80"/>
      </w:pPr>
      <w:r>
        <w:rPr>
          <w:rFonts w:ascii="Arial" w:hAnsi="Arial" w:eastAsia="Arial" w:cs="Arial"/>
          <w:b/>
          <w:bCs/>
          <w:color w:val="1F3864"/>
          <w:sz w:val="36"/>
          <w:szCs w:val="36"/>
        </w:rPr>
        <w:t>3. Project Objectives</w:t>
      </w:r>
    </w:p>
    <w:p w14:paraId="6448C249">
      <w:pPr>
        <w:pBdr>
          <w:bottom w:val="single" w:color="2E75B6" w:sz="8" w:space="1"/>
        </w:pBdr>
        <w:spacing w:before="60" w:after="60"/>
      </w:pPr>
    </w:p>
    <w:p w14:paraId="76599B7A">
      <w:pPr>
        <w:pStyle w:val="14"/>
        <w:numPr>
          <w:ilvl w:val="0"/>
          <w:numId w:val="1"/>
        </w:numPr>
        <w:spacing w:before="40" w:after="40"/>
      </w:pPr>
      <w:r>
        <w:rPr>
          <w:rFonts w:ascii="Arial" w:hAnsi="Arial" w:eastAsia="Arial" w:cs="Arial"/>
          <w:color w:val="404040"/>
          <w:sz w:val="20"/>
          <w:szCs w:val="20"/>
        </w:rPr>
        <w:t>Develop a clean, reproducible data pipeline for ingesting and wrangling actuarial salary data.</w:t>
      </w:r>
    </w:p>
    <w:p w14:paraId="2E6528EB">
      <w:pPr>
        <w:pStyle w:val="14"/>
        <w:numPr>
          <w:ilvl w:val="0"/>
          <w:numId w:val="1"/>
        </w:numPr>
        <w:spacing w:before="40" w:after="40"/>
      </w:pPr>
      <w:r>
        <w:rPr>
          <w:rFonts w:ascii="Arial" w:hAnsi="Arial" w:eastAsia="Arial" w:cs="Arial"/>
          <w:color w:val="404040"/>
          <w:sz w:val="20"/>
          <w:szCs w:val="20"/>
        </w:rPr>
        <w:t>Conduct thorough exploratory data analysis (EDA) to surface patterns and inter-variable relationships.</w:t>
      </w:r>
    </w:p>
    <w:p w14:paraId="55846948">
      <w:pPr>
        <w:pStyle w:val="14"/>
        <w:numPr>
          <w:ilvl w:val="0"/>
          <w:numId w:val="1"/>
        </w:numPr>
        <w:spacing w:before="40" w:after="40"/>
      </w:pPr>
      <w:r>
        <w:rPr>
          <w:rFonts w:ascii="Arial" w:hAnsi="Arial" w:eastAsia="Arial" w:cs="Arial"/>
          <w:color w:val="404040"/>
          <w:sz w:val="20"/>
          <w:szCs w:val="20"/>
        </w:rPr>
        <w:t>Engineer features and evaluate multiple regression algorithms to identify the best-performing model.</w:t>
      </w:r>
    </w:p>
    <w:p w14:paraId="124852A2">
      <w:pPr>
        <w:pStyle w:val="14"/>
        <w:numPr>
          <w:ilvl w:val="0"/>
          <w:numId w:val="1"/>
        </w:numPr>
        <w:spacing w:before="40" w:after="40"/>
      </w:pPr>
      <w:r>
        <w:rPr>
          <w:rFonts w:ascii="Arial" w:hAnsi="Arial" w:eastAsia="Arial" w:cs="Arial"/>
          <w:color w:val="404040"/>
          <w:sz w:val="20"/>
          <w:szCs w:val="20"/>
        </w:rPr>
        <w:t>Quantify model performance using industry-standard regression metrics (MAE, RMSE, R²).</w:t>
      </w:r>
    </w:p>
    <w:p w14:paraId="46445D15">
      <w:pPr>
        <w:pStyle w:val="14"/>
        <w:numPr>
          <w:ilvl w:val="0"/>
          <w:numId w:val="1"/>
        </w:numPr>
        <w:spacing w:before="40" w:after="40"/>
      </w:pPr>
      <w:r>
        <w:rPr>
          <w:rFonts w:ascii="Arial" w:hAnsi="Arial" w:eastAsia="Arial" w:cs="Arial"/>
          <w:color w:val="404040"/>
          <w:sz w:val="20"/>
          <w:szCs w:val="20"/>
        </w:rPr>
        <w:t>Deliver an interactive prediction interface for non-technical stakeholders.</w:t>
      </w:r>
    </w:p>
    <w:p w14:paraId="57412291">
      <w:pPr>
        <w:pStyle w:val="14"/>
        <w:numPr>
          <w:ilvl w:val="0"/>
          <w:numId w:val="1"/>
        </w:numPr>
        <w:spacing w:before="40" w:after="40"/>
      </w:pPr>
      <w:r>
        <w:rPr>
          <w:rFonts w:ascii="Arial" w:hAnsi="Arial" w:eastAsia="Arial" w:cs="Arial"/>
          <w:color w:val="404040"/>
          <w:sz w:val="20"/>
          <w:szCs w:val="20"/>
        </w:rPr>
        <w:t>Document all findings in a professional format suitable for executive and technical audiences.</w:t>
      </w:r>
    </w:p>
    <w:p w14:paraId="383B6AF8">
      <w:pPr>
        <w:spacing w:before="80" w:after="0"/>
      </w:pPr>
    </w:p>
    <w:p w14:paraId="103F98F3">
      <w:pPr>
        <w:pStyle w:val="2"/>
        <w:spacing w:before="300" w:after="80"/>
      </w:pPr>
      <w:r>
        <w:rPr>
          <w:rFonts w:ascii="Arial" w:hAnsi="Arial" w:eastAsia="Arial" w:cs="Arial"/>
          <w:b/>
          <w:bCs/>
          <w:color w:val="1F3864"/>
          <w:sz w:val="36"/>
          <w:szCs w:val="36"/>
        </w:rPr>
        <w:t>4. Data Overview</w:t>
      </w:r>
    </w:p>
    <w:p w14:paraId="3A595609">
      <w:pPr>
        <w:pBdr>
          <w:bottom w:val="single" w:color="2E75B6" w:sz="8" w:space="1"/>
        </w:pBdr>
        <w:spacing w:before="60" w:after="60"/>
      </w:pPr>
    </w:p>
    <w:p w14:paraId="53A401F6">
      <w:pPr>
        <w:pStyle w:val="3"/>
        <w:spacing w:before="240" w:after="80"/>
      </w:pPr>
      <w:r>
        <w:rPr>
          <w:rFonts w:ascii="Arial" w:hAnsi="Arial" w:eastAsia="Arial" w:cs="Arial"/>
          <w:b/>
          <w:bCs/>
          <w:color w:val="2E75B6"/>
          <w:sz w:val="28"/>
          <w:szCs w:val="28"/>
        </w:rPr>
        <w:t>4.1 Data Source</w:t>
      </w:r>
    </w:p>
    <w:p w14:paraId="241326E5">
      <w:pPr>
        <w:spacing w:before="60" w:after="60"/>
        <w:jc w:val="left"/>
      </w:pPr>
      <w:r>
        <w:rPr>
          <w:rFonts w:ascii="Arial" w:hAnsi="Arial" w:eastAsia="Arial" w:cs="Arial"/>
          <w:b w:val="0"/>
          <w:bCs w:val="0"/>
          <w:color w:val="404040"/>
          <w:sz w:val="20"/>
          <w:szCs w:val="20"/>
        </w:rPr>
        <w:t>The dataset was sourced from historical actuarial salary survey publications and contains 138 observations across 6 columns, with no missing values. It was loaded via a custom wrangle() function that drops the redundant composite salary column to prevent data leakage.</w:t>
      </w:r>
    </w:p>
    <w:p w14:paraId="63729D37">
      <w:pPr>
        <w:spacing w:before="80" w:after="0"/>
      </w:pPr>
    </w:p>
    <w:p w14:paraId="57617077">
      <w:pPr>
        <w:pStyle w:val="3"/>
        <w:spacing w:before="240" w:after="80"/>
      </w:pPr>
      <w:r>
        <w:rPr>
          <w:rFonts w:ascii="Arial" w:hAnsi="Arial" w:eastAsia="Arial" w:cs="Arial"/>
          <w:b/>
          <w:bCs/>
          <w:color w:val="2E75B6"/>
          <w:sz w:val="28"/>
          <w:szCs w:val="28"/>
        </w:rPr>
        <w:t>4.2 Feature Descriptions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1560"/>
        <w:gridCol w:w="5460"/>
      </w:tblGrid>
      <w:tr w14:paraId="74CBC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0D0D0" w:sz="4" w:space="0"/>
              <w:left w:val="single" w:color="D0D0D0" w:sz="4" w:space="0"/>
              <w:bottom w:val="single" w:color="D0D0D0" w:sz="4" w:space="0"/>
              <w:right w:val="single" w:color="D0D0D0" w:sz="4" w:space="0"/>
            </w:tcBorders>
            <w:shd w:val="clear" w:color="auto" w:fill="2E75B6"/>
            <w:tcMar>
              <w:top w:w="80" w:type="dxa"/>
              <w:left w:w="120" w:type="dxa"/>
              <w:bottom w:w="80" w:type="dxa"/>
              <w:right w:w="120" w:type="dxa"/>
            </w:tcMar>
            <w:vAlign w:val="center"/>
          </w:tcPr>
          <w:p w14:paraId="21A4EAAB">
            <w:pPr>
              <w:jc w:val="left"/>
            </w:pPr>
            <w:r>
              <w:rPr>
                <w:rFonts w:ascii="Arial" w:hAnsi="Arial" w:eastAsia="Arial" w:cs="Arial"/>
                <w:b/>
                <w:bCs/>
                <w:color w:val="FFFFFF"/>
                <w:sz w:val="18"/>
                <w:szCs w:val="18"/>
              </w:rPr>
              <w:t>Feature</w:t>
            </w:r>
          </w:p>
        </w:tc>
        <w:tc>
          <w:tcPr>
            <w:tcW w:w="1560" w:type="dxa"/>
            <w:tcBorders>
              <w:top w:val="single" w:color="D0D0D0" w:sz="4" w:space="0"/>
              <w:left w:val="single" w:color="D0D0D0" w:sz="4" w:space="0"/>
              <w:bottom w:val="single" w:color="D0D0D0" w:sz="4" w:space="0"/>
              <w:right w:val="single" w:color="D0D0D0" w:sz="4" w:space="0"/>
            </w:tcBorders>
            <w:shd w:val="clear" w:color="auto" w:fill="2E75B6"/>
            <w:tcMar>
              <w:top w:w="80" w:type="dxa"/>
              <w:left w:w="120" w:type="dxa"/>
              <w:bottom w:w="80" w:type="dxa"/>
              <w:right w:w="120" w:type="dxa"/>
            </w:tcMar>
            <w:vAlign w:val="center"/>
          </w:tcPr>
          <w:p w14:paraId="725D330C">
            <w:pPr>
              <w:jc w:val="left"/>
            </w:pPr>
            <w:r>
              <w:rPr>
                <w:rFonts w:ascii="Arial" w:hAnsi="Arial" w:eastAsia="Arial" w:cs="Arial"/>
                <w:b/>
                <w:bCs/>
                <w:color w:val="FFFFFF"/>
                <w:sz w:val="18"/>
                <w:szCs w:val="18"/>
              </w:rPr>
              <w:t>Type</w:t>
            </w:r>
          </w:p>
        </w:tc>
        <w:tc>
          <w:tcPr>
            <w:tcW w:w="5460" w:type="dxa"/>
            <w:tcBorders>
              <w:top w:val="single" w:color="D0D0D0" w:sz="4" w:space="0"/>
              <w:left w:val="single" w:color="D0D0D0" w:sz="4" w:space="0"/>
              <w:bottom w:val="single" w:color="D0D0D0" w:sz="4" w:space="0"/>
              <w:right w:val="single" w:color="D0D0D0" w:sz="4" w:space="0"/>
            </w:tcBorders>
            <w:shd w:val="clear" w:color="auto" w:fill="2E75B6"/>
            <w:tcMar>
              <w:top w:w="80" w:type="dxa"/>
              <w:left w:w="120" w:type="dxa"/>
              <w:bottom w:w="80" w:type="dxa"/>
              <w:right w:w="120" w:type="dxa"/>
            </w:tcMar>
            <w:vAlign w:val="center"/>
          </w:tcPr>
          <w:p w14:paraId="3FD58C0D">
            <w:pPr>
              <w:jc w:val="left"/>
            </w:pPr>
            <w:r>
              <w:rPr>
                <w:rFonts w:ascii="Arial" w:hAnsi="Arial" w:eastAsia="Arial" w:cs="Arial"/>
                <w:b/>
                <w:bCs/>
                <w:color w:val="FFFFFF"/>
                <w:sz w:val="18"/>
                <w:szCs w:val="18"/>
              </w:rPr>
              <w:t>Description</w:t>
            </w:r>
          </w:p>
        </w:tc>
      </w:tr>
      <w:tr w14:paraId="438F4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679E38F9">
            <w:pPr>
              <w:jc w:val="left"/>
            </w:pPr>
            <w:r>
              <w:rPr>
                <w:rFonts w:ascii="Arial" w:hAnsi="Arial" w:eastAsia="Arial" w:cs="Arial"/>
                <w:b w:val="0"/>
                <w:bCs w:val="0"/>
                <w:color w:val="404040"/>
                <w:sz w:val="18"/>
                <w:szCs w:val="18"/>
              </w:rPr>
              <w:t>industry</w:t>
            </w:r>
          </w:p>
        </w:tc>
        <w:tc>
          <w:tcPr>
            <w:tcW w:w="156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5D8B3652">
            <w:pPr>
              <w:jc w:val="left"/>
            </w:pPr>
            <w:r>
              <w:rPr>
                <w:rFonts w:ascii="Arial" w:hAnsi="Arial" w:eastAsia="Arial" w:cs="Arial"/>
                <w:b w:val="0"/>
                <w:bCs w:val="0"/>
                <w:color w:val="404040"/>
                <w:sz w:val="18"/>
                <w:szCs w:val="18"/>
              </w:rPr>
              <w:t>Categorical</w:t>
            </w:r>
          </w:p>
        </w:tc>
        <w:tc>
          <w:tcPr>
            <w:tcW w:w="546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511FD3D8">
            <w:pPr>
              <w:jc w:val="left"/>
            </w:pPr>
            <w:r>
              <w:rPr>
                <w:rFonts w:ascii="Arial" w:hAnsi="Arial" w:eastAsia="Arial" w:cs="Arial"/>
                <w:b w:val="0"/>
                <w:bCs w:val="0"/>
                <w:color w:val="404040"/>
                <w:sz w:val="18"/>
                <w:szCs w:val="18"/>
              </w:rPr>
              <w:t>Actuarial industry sector: Casualty, Health, Life, or Pension</w:t>
            </w:r>
          </w:p>
        </w:tc>
      </w:tr>
      <w:tr w14:paraId="64498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091ADDFC">
            <w:pPr>
              <w:jc w:val="left"/>
            </w:pPr>
            <w:r>
              <w:rPr>
                <w:rFonts w:ascii="Arial" w:hAnsi="Arial" w:eastAsia="Arial" w:cs="Arial"/>
                <w:b w:val="0"/>
                <w:bCs w:val="0"/>
                <w:color w:val="404040"/>
                <w:sz w:val="18"/>
                <w:szCs w:val="18"/>
              </w:rPr>
              <w:t>exams</w:t>
            </w:r>
          </w:p>
        </w:tc>
        <w:tc>
          <w:tcPr>
            <w:tcW w:w="156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16C95AD3">
            <w:pPr>
              <w:jc w:val="left"/>
            </w:pPr>
            <w:r>
              <w:rPr>
                <w:rFonts w:ascii="Arial" w:hAnsi="Arial" w:eastAsia="Arial" w:cs="Arial"/>
                <w:b w:val="0"/>
                <w:bCs w:val="0"/>
                <w:color w:val="404040"/>
                <w:sz w:val="18"/>
                <w:szCs w:val="18"/>
              </w:rPr>
              <w:t>Categorical</w:t>
            </w:r>
          </w:p>
        </w:tc>
        <w:tc>
          <w:tcPr>
            <w:tcW w:w="546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52AEF1DF">
            <w:pPr>
              <w:jc w:val="left"/>
            </w:pPr>
            <w:r>
              <w:rPr>
                <w:rFonts w:ascii="Arial" w:hAnsi="Arial" w:eastAsia="Arial" w:cs="Arial"/>
                <w:b w:val="0"/>
                <w:bCs w:val="0"/>
                <w:color w:val="404040"/>
                <w:sz w:val="18"/>
                <w:szCs w:val="18"/>
              </w:rPr>
              <w:t>Number of professional actuarial exams passed (16 levels)</w:t>
            </w:r>
          </w:p>
        </w:tc>
      </w:tr>
      <w:tr w14:paraId="2F534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73F5F78F">
            <w:pPr>
              <w:jc w:val="left"/>
            </w:pPr>
            <w:r>
              <w:rPr>
                <w:rFonts w:ascii="Arial" w:hAnsi="Arial" w:eastAsia="Arial" w:cs="Arial"/>
                <w:b w:val="0"/>
                <w:bCs w:val="0"/>
                <w:color w:val="404040"/>
                <w:sz w:val="18"/>
                <w:szCs w:val="18"/>
              </w:rPr>
              <w:t>experience</w:t>
            </w:r>
          </w:p>
        </w:tc>
        <w:tc>
          <w:tcPr>
            <w:tcW w:w="156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0C974C9E">
            <w:pPr>
              <w:jc w:val="left"/>
            </w:pPr>
            <w:r>
              <w:rPr>
                <w:rFonts w:ascii="Arial" w:hAnsi="Arial" w:eastAsia="Arial" w:cs="Arial"/>
                <w:b w:val="0"/>
                <w:bCs w:val="0"/>
                <w:color w:val="404040"/>
                <w:sz w:val="18"/>
                <w:szCs w:val="18"/>
              </w:rPr>
              <w:t>Integer</w:t>
            </w:r>
          </w:p>
        </w:tc>
        <w:tc>
          <w:tcPr>
            <w:tcW w:w="546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5671F5D2">
            <w:pPr>
              <w:jc w:val="left"/>
            </w:pPr>
            <w:r>
              <w:rPr>
                <w:rFonts w:ascii="Arial" w:hAnsi="Arial" w:eastAsia="Arial" w:cs="Arial"/>
                <w:b w:val="0"/>
                <w:bCs w:val="0"/>
                <w:color w:val="404040"/>
                <w:sz w:val="18"/>
                <w:szCs w:val="18"/>
              </w:rPr>
              <w:t>Years of relevant actuarial work experience (range: 1–20)</w:t>
            </w:r>
          </w:p>
        </w:tc>
      </w:tr>
      <w:tr w14:paraId="7FDAB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285F9664">
            <w:pPr>
              <w:jc w:val="left"/>
            </w:pPr>
            <w:r>
              <w:rPr>
                <w:rFonts w:ascii="Arial" w:hAnsi="Arial" w:eastAsia="Arial" w:cs="Arial"/>
                <w:b w:val="0"/>
                <w:bCs w:val="0"/>
                <w:color w:val="404040"/>
                <w:sz w:val="18"/>
                <w:szCs w:val="18"/>
              </w:rPr>
              <w:t>salary_low</w:t>
            </w:r>
          </w:p>
        </w:tc>
        <w:tc>
          <w:tcPr>
            <w:tcW w:w="156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72E88F90">
            <w:pPr>
              <w:jc w:val="left"/>
            </w:pPr>
            <w:r>
              <w:rPr>
                <w:rFonts w:ascii="Arial" w:hAnsi="Arial" w:eastAsia="Arial" w:cs="Arial"/>
                <w:b w:val="0"/>
                <w:bCs w:val="0"/>
                <w:color w:val="404040"/>
                <w:sz w:val="18"/>
                <w:szCs w:val="18"/>
              </w:rPr>
              <w:t>Integer</w:t>
            </w:r>
          </w:p>
        </w:tc>
        <w:tc>
          <w:tcPr>
            <w:tcW w:w="546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05199798">
            <w:pPr>
              <w:jc w:val="left"/>
            </w:pPr>
            <w:r>
              <w:rPr>
                <w:rFonts w:ascii="Arial" w:hAnsi="Arial" w:eastAsia="Arial" w:cs="Arial"/>
                <w:b w:val="0"/>
                <w:bCs w:val="0"/>
                <w:color w:val="404040"/>
                <w:sz w:val="18"/>
                <w:szCs w:val="18"/>
              </w:rPr>
              <w:t>Lower bound of the salary band (thousands USD)</w:t>
            </w:r>
          </w:p>
        </w:tc>
      </w:tr>
      <w:tr w14:paraId="50AC1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03C1BE18">
            <w:pPr>
              <w:jc w:val="left"/>
            </w:pPr>
            <w:r>
              <w:rPr>
                <w:rFonts w:ascii="Arial" w:hAnsi="Arial" w:eastAsia="Arial" w:cs="Arial"/>
                <w:b/>
                <w:bCs/>
                <w:color w:val="404040"/>
                <w:sz w:val="18"/>
                <w:szCs w:val="18"/>
              </w:rPr>
              <w:t>salary_mid</w:t>
            </w:r>
          </w:p>
        </w:tc>
        <w:tc>
          <w:tcPr>
            <w:tcW w:w="156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6BBF7C9E">
            <w:pPr>
              <w:jc w:val="left"/>
            </w:pPr>
            <w:r>
              <w:rPr>
                <w:rFonts w:ascii="Arial" w:hAnsi="Arial" w:eastAsia="Arial" w:cs="Arial"/>
                <w:b w:val="0"/>
                <w:bCs w:val="0"/>
                <w:color w:val="404040"/>
                <w:sz w:val="18"/>
                <w:szCs w:val="18"/>
              </w:rPr>
              <w:t>Float</w:t>
            </w:r>
          </w:p>
        </w:tc>
        <w:tc>
          <w:tcPr>
            <w:tcW w:w="546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5514B105">
            <w:pPr>
              <w:jc w:val="left"/>
            </w:pPr>
            <w:r>
              <w:rPr>
                <w:rFonts w:ascii="Arial" w:hAnsi="Arial" w:eastAsia="Arial" w:cs="Arial"/>
                <w:b w:val="0"/>
                <w:bCs w:val="0"/>
                <w:color w:val="404040"/>
                <w:sz w:val="18"/>
                <w:szCs w:val="18"/>
              </w:rPr>
              <w:t>Mid-point salary — TARGET variable (thousands USD)</w:t>
            </w:r>
          </w:p>
        </w:tc>
      </w:tr>
      <w:tr w14:paraId="67A9F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255ABD74">
            <w:pPr>
              <w:jc w:val="left"/>
            </w:pPr>
            <w:r>
              <w:rPr>
                <w:rFonts w:ascii="Arial" w:hAnsi="Arial" w:eastAsia="Arial" w:cs="Arial"/>
                <w:b w:val="0"/>
                <w:bCs w:val="0"/>
                <w:color w:val="404040"/>
                <w:sz w:val="18"/>
                <w:szCs w:val="18"/>
              </w:rPr>
              <w:t>salary_high</w:t>
            </w:r>
          </w:p>
        </w:tc>
        <w:tc>
          <w:tcPr>
            <w:tcW w:w="156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5F3AAA52">
            <w:pPr>
              <w:jc w:val="left"/>
            </w:pPr>
            <w:r>
              <w:rPr>
                <w:rFonts w:ascii="Arial" w:hAnsi="Arial" w:eastAsia="Arial" w:cs="Arial"/>
                <w:b w:val="0"/>
                <w:bCs w:val="0"/>
                <w:color w:val="404040"/>
                <w:sz w:val="18"/>
                <w:szCs w:val="18"/>
              </w:rPr>
              <w:t>Integer</w:t>
            </w:r>
          </w:p>
        </w:tc>
        <w:tc>
          <w:tcPr>
            <w:tcW w:w="546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39A13E47">
            <w:pPr>
              <w:jc w:val="left"/>
            </w:pPr>
            <w:r>
              <w:rPr>
                <w:rFonts w:ascii="Arial" w:hAnsi="Arial" w:eastAsia="Arial" w:cs="Arial"/>
                <w:b w:val="0"/>
                <w:bCs w:val="0"/>
                <w:color w:val="404040"/>
                <w:sz w:val="18"/>
                <w:szCs w:val="18"/>
              </w:rPr>
              <w:t>Upper bound of the salary band (thousands USD)</w:t>
            </w:r>
          </w:p>
        </w:tc>
      </w:tr>
    </w:tbl>
    <w:p w14:paraId="46ED1E4D">
      <w:pPr>
        <w:spacing w:before="80" w:after="0"/>
      </w:pPr>
    </w:p>
    <w:p w14:paraId="7EA6C80D">
      <w:pPr>
        <w:pStyle w:val="3"/>
        <w:spacing w:before="240" w:after="80"/>
      </w:pPr>
      <w:r>
        <w:rPr>
          <w:rFonts w:ascii="Arial" w:hAnsi="Arial" w:eastAsia="Arial" w:cs="Arial"/>
          <w:b/>
          <w:bCs/>
          <w:color w:val="2E75B6"/>
          <w:sz w:val="28"/>
          <w:szCs w:val="28"/>
        </w:rPr>
        <w:t>4.3 Summary Statistics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1755"/>
        <w:gridCol w:w="1755"/>
        <w:gridCol w:w="1755"/>
        <w:gridCol w:w="1755"/>
      </w:tblGrid>
      <w:tr w14:paraId="5F127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0D0D0" w:sz="4" w:space="0"/>
              <w:left w:val="single" w:color="D0D0D0" w:sz="4" w:space="0"/>
              <w:bottom w:val="single" w:color="D0D0D0" w:sz="4" w:space="0"/>
              <w:right w:val="single" w:color="D0D0D0" w:sz="4" w:space="0"/>
            </w:tcBorders>
            <w:shd w:val="clear" w:color="auto" w:fill="2E75B6"/>
            <w:tcMar>
              <w:top w:w="80" w:type="dxa"/>
              <w:left w:w="120" w:type="dxa"/>
              <w:bottom w:w="80" w:type="dxa"/>
              <w:right w:w="120" w:type="dxa"/>
            </w:tcMar>
            <w:vAlign w:val="center"/>
          </w:tcPr>
          <w:p w14:paraId="0759997B">
            <w:pPr>
              <w:jc w:val="left"/>
            </w:pPr>
            <w:r>
              <w:rPr>
                <w:rFonts w:ascii="Arial" w:hAnsi="Arial" w:eastAsia="Arial" w:cs="Arial"/>
                <w:b/>
                <w:bCs/>
                <w:color w:val="FFFFFF"/>
                <w:sz w:val="18"/>
                <w:szCs w:val="18"/>
              </w:rPr>
              <w:t>Metric</w:t>
            </w:r>
          </w:p>
        </w:tc>
        <w:tc>
          <w:tcPr>
            <w:tcW w:w="1755" w:type="dxa"/>
            <w:tcBorders>
              <w:top w:val="single" w:color="D0D0D0" w:sz="4" w:space="0"/>
              <w:left w:val="single" w:color="D0D0D0" w:sz="4" w:space="0"/>
              <w:bottom w:val="single" w:color="D0D0D0" w:sz="4" w:space="0"/>
              <w:right w:val="single" w:color="D0D0D0" w:sz="4" w:space="0"/>
            </w:tcBorders>
            <w:shd w:val="clear" w:color="auto" w:fill="2E75B6"/>
            <w:tcMar>
              <w:top w:w="80" w:type="dxa"/>
              <w:left w:w="120" w:type="dxa"/>
              <w:bottom w:w="80" w:type="dxa"/>
              <w:right w:w="120" w:type="dxa"/>
            </w:tcMar>
            <w:vAlign w:val="center"/>
          </w:tcPr>
          <w:p w14:paraId="34292E0A">
            <w:pPr>
              <w:jc w:val="left"/>
            </w:pPr>
            <w:r>
              <w:rPr>
                <w:rFonts w:ascii="Arial" w:hAnsi="Arial" w:eastAsia="Arial" w:cs="Arial"/>
                <w:b/>
                <w:bCs/>
                <w:color w:val="FFFFFF"/>
                <w:sz w:val="18"/>
                <w:szCs w:val="18"/>
              </w:rPr>
              <w:t>Experience</w:t>
            </w:r>
          </w:p>
        </w:tc>
        <w:tc>
          <w:tcPr>
            <w:tcW w:w="1755" w:type="dxa"/>
            <w:tcBorders>
              <w:top w:val="single" w:color="D0D0D0" w:sz="4" w:space="0"/>
              <w:left w:val="single" w:color="D0D0D0" w:sz="4" w:space="0"/>
              <w:bottom w:val="single" w:color="D0D0D0" w:sz="4" w:space="0"/>
              <w:right w:val="single" w:color="D0D0D0" w:sz="4" w:space="0"/>
            </w:tcBorders>
            <w:shd w:val="clear" w:color="auto" w:fill="2E75B6"/>
            <w:tcMar>
              <w:top w:w="80" w:type="dxa"/>
              <w:left w:w="120" w:type="dxa"/>
              <w:bottom w:w="80" w:type="dxa"/>
              <w:right w:w="120" w:type="dxa"/>
            </w:tcMar>
            <w:vAlign w:val="center"/>
          </w:tcPr>
          <w:p w14:paraId="26C8D1DE">
            <w:pPr>
              <w:jc w:val="left"/>
            </w:pPr>
            <w:r>
              <w:rPr>
                <w:rFonts w:ascii="Arial" w:hAnsi="Arial" w:eastAsia="Arial" w:cs="Arial"/>
                <w:b/>
                <w:bCs/>
                <w:color w:val="FFFFFF"/>
                <w:sz w:val="18"/>
                <w:szCs w:val="18"/>
              </w:rPr>
              <w:t>salary_low</w:t>
            </w:r>
          </w:p>
        </w:tc>
        <w:tc>
          <w:tcPr>
            <w:tcW w:w="1755" w:type="dxa"/>
            <w:tcBorders>
              <w:top w:val="single" w:color="D0D0D0" w:sz="4" w:space="0"/>
              <w:left w:val="single" w:color="D0D0D0" w:sz="4" w:space="0"/>
              <w:bottom w:val="single" w:color="D0D0D0" w:sz="4" w:space="0"/>
              <w:right w:val="single" w:color="D0D0D0" w:sz="4" w:space="0"/>
            </w:tcBorders>
            <w:shd w:val="clear" w:color="auto" w:fill="2E75B6"/>
            <w:tcMar>
              <w:top w:w="80" w:type="dxa"/>
              <w:left w:w="120" w:type="dxa"/>
              <w:bottom w:w="80" w:type="dxa"/>
              <w:right w:w="120" w:type="dxa"/>
            </w:tcMar>
            <w:vAlign w:val="center"/>
          </w:tcPr>
          <w:p w14:paraId="2752B37A">
            <w:pPr>
              <w:jc w:val="left"/>
            </w:pPr>
            <w:r>
              <w:rPr>
                <w:rFonts w:ascii="Arial" w:hAnsi="Arial" w:eastAsia="Arial" w:cs="Arial"/>
                <w:b/>
                <w:bCs/>
                <w:color w:val="FFFFFF"/>
                <w:sz w:val="18"/>
                <w:szCs w:val="18"/>
              </w:rPr>
              <w:t>salary_mid</w:t>
            </w:r>
          </w:p>
        </w:tc>
        <w:tc>
          <w:tcPr>
            <w:tcW w:w="1755" w:type="dxa"/>
            <w:tcBorders>
              <w:top w:val="single" w:color="D0D0D0" w:sz="4" w:space="0"/>
              <w:left w:val="single" w:color="D0D0D0" w:sz="4" w:space="0"/>
              <w:bottom w:val="single" w:color="D0D0D0" w:sz="4" w:space="0"/>
              <w:right w:val="single" w:color="D0D0D0" w:sz="4" w:space="0"/>
            </w:tcBorders>
            <w:shd w:val="clear" w:color="auto" w:fill="2E75B6"/>
            <w:tcMar>
              <w:top w:w="80" w:type="dxa"/>
              <w:left w:w="120" w:type="dxa"/>
              <w:bottom w:w="80" w:type="dxa"/>
              <w:right w:w="120" w:type="dxa"/>
            </w:tcMar>
            <w:vAlign w:val="center"/>
          </w:tcPr>
          <w:p w14:paraId="2355892B">
            <w:pPr>
              <w:jc w:val="left"/>
            </w:pPr>
            <w:r>
              <w:rPr>
                <w:rFonts w:ascii="Arial" w:hAnsi="Arial" w:eastAsia="Arial" w:cs="Arial"/>
                <w:b/>
                <w:bCs/>
                <w:color w:val="FFFFFF"/>
                <w:sz w:val="18"/>
                <w:szCs w:val="18"/>
              </w:rPr>
              <w:t>salary_high</w:t>
            </w:r>
          </w:p>
        </w:tc>
      </w:tr>
      <w:tr w14:paraId="263C7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24EFB1D0">
            <w:pPr>
              <w:jc w:val="left"/>
            </w:pPr>
            <w:r>
              <w:rPr>
                <w:rFonts w:ascii="Arial" w:hAnsi="Arial" w:eastAsia="Arial" w:cs="Arial"/>
                <w:b w:val="0"/>
                <w:bCs w:val="0"/>
                <w:color w:val="404040"/>
                <w:sz w:val="18"/>
                <w:szCs w:val="18"/>
              </w:rPr>
              <w:t>Count</w:t>
            </w:r>
          </w:p>
        </w:tc>
        <w:tc>
          <w:tcPr>
            <w:tcW w:w="1755"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5984C578">
            <w:pPr>
              <w:jc w:val="left"/>
            </w:pPr>
            <w:r>
              <w:rPr>
                <w:rFonts w:ascii="Arial" w:hAnsi="Arial" w:eastAsia="Arial" w:cs="Arial"/>
                <w:b w:val="0"/>
                <w:bCs w:val="0"/>
                <w:color w:val="404040"/>
                <w:sz w:val="18"/>
                <w:szCs w:val="18"/>
              </w:rPr>
              <w:t>138</w:t>
            </w:r>
          </w:p>
        </w:tc>
        <w:tc>
          <w:tcPr>
            <w:tcW w:w="1755"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0E6F9BF2">
            <w:pPr>
              <w:jc w:val="left"/>
            </w:pPr>
            <w:r>
              <w:rPr>
                <w:rFonts w:ascii="Arial" w:hAnsi="Arial" w:eastAsia="Arial" w:cs="Arial"/>
                <w:b w:val="0"/>
                <w:bCs w:val="0"/>
                <w:color w:val="404040"/>
                <w:sz w:val="18"/>
                <w:szCs w:val="18"/>
              </w:rPr>
              <w:t>138</w:t>
            </w:r>
          </w:p>
        </w:tc>
        <w:tc>
          <w:tcPr>
            <w:tcW w:w="1755"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09976E6D">
            <w:pPr>
              <w:jc w:val="left"/>
            </w:pPr>
            <w:r>
              <w:rPr>
                <w:rFonts w:ascii="Arial" w:hAnsi="Arial" w:eastAsia="Arial" w:cs="Arial"/>
                <w:b w:val="0"/>
                <w:bCs w:val="0"/>
                <w:color w:val="404040"/>
                <w:sz w:val="18"/>
                <w:szCs w:val="18"/>
              </w:rPr>
              <w:t>138</w:t>
            </w:r>
          </w:p>
        </w:tc>
        <w:tc>
          <w:tcPr>
            <w:tcW w:w="1755"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30B79F5D">
            <w:pPr>
              <w:jc w:val="left"/>
            </w:pPr>
            <w:r>
              <w:rPr>
                <w:rFonts w:ascii="Arial" w:hAnsi="Arial" w:eastAsia="Arial" w:cs="Arial"/>
                <w:b w:val="0"/>
                <w:bCs w:val="0"/>
                <w:color w:val="404040"/>
                <w:sz w:val="18"/>
                <w:szCs w:val="18"/>
              </w:rPr>
              <w:t>138</w:t>
            </w:r>
          </w:p>
        </w:tc>
      </w:tr>
      <w:tr w14:paraId="0A03D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721129CB">
            <w:pPr>
              <w:jc w:val="left"/>
            </w:pPr>
            <w:r>
              <w:rPr>
                <w:rFonts w:ascii="Arial" w:hAnsi="Arial" w:eastAsia="Arial" w:cs="Arial"/>
                <w:b w:val="0"/>
                <w:bCs w:val="0"/>
                <w:color w:val="404040"/>
                <w:sz w:val="18"/>
                <w:szCs w:val="18"/>
              </w:rPr>
              <w:t>Mean</w:t>
            </w:r>
          </w:p>
        </w:tc>
        <w:tc>
          <w:tcPr>
            <w:tcW w:w="1755"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51F917A7">
            <w:pPr>
              <w:jc w:val="left"/>
            </w:pPr>
            <w:r>
              <w:rPr>
                <w:rFonts w:ascii="Arial" w:hAnsi="Arial" w:eastAsia="Arial" w:cs="Arial"/>
                <w:b w:val="0"/>
                <w:bCs w:val="0"/>
                <w:color w:val="404040"/>
                <w:sz w:val="18"/>
                <w:szCs w:val="18"/>
              </w:rPr>
              <w:t>7.04</w:t>
            </w:r>
          </w:p>
        </w:tc>
        <w:tc>
          <w:tcPr>
            <w:tcW w:w="1755"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6E9C6F8A">
            <w:pPr>
              <w:jc w:val="left"/>
            </w:pPr>
            <w:r>
              <w:rPr>
                <w:rFonts w:ascii="Arial" w:hAnsi="Arial" w:eastAsia="Arial" w:cs="Arial"/>
                <w:b w:val="0"/>
                <w:bCs w:val="0"/>
                <w:color w:val="404040"/>
                <w:sz w:val="18"/>
                <w:szCs w:val="18"/>
              </w:rPr>
              <w:t>$79.4K</w:t>
            </w:r>
          </w:p>
        </w:tc>
        <w:tc>
          <w:tcPr>
            <w:tcW w:w="1755"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3CC3BED2">
            <w:pPr>
              <w:jc w:val="left"/>
            </w:pPr>
            <w:r>
              <w:rPr>
                <w:rFonts w:ascii="Arial" w:hAnsi="Arial" w:eastAsia="Arial" w:cs="Arial"/>
                <w:b w:val="0"/>
                <w:bCs w:val="0"/>
                <w:color w:val="404040"/>
                <w:sz w:val="18"/>
                <w:szCs w:val="18"/>
              </w:rPr>
              <w:t>$99.1K</w:t>
            </w:r>
          </w:p>
        </w:tc>
        <w:tc>
          <w:tcPr>
            <w:tcW w:w="1755"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6BE7607F">
            <w:pPr>
              <w:jc w:val="left"/>
            </w:pPr>
            <w:r>
              <w:rPr>
                <w:rFonts w:ascii="Arial" w:hAnsi="Arial" w:eastAsia="Arial" w:cs="Arial"/>
                <w:b w:val="0"/>
                <w:bCs w:val="0"/>
                <w:color w:val="404040"/>
                <w:sz w:val="18"/>
                <w:szCs w:val="18"/>
              </w:rPr>
              <w:t>$118.8K</w:t>
            </w:r>
          </w:p>
        </w:tc>
      </w:tr>
      <w:tr w14:paraId="6C4E5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7BD3AB8A">
            <w:pPr>
              <w:jc w:val="left"/>
            </w:pPr>
            <w:r>
              <w:rPr>
                <w:rFonts w:ascii="Arial" w:hAnsi="Arial" w:eastAsia="Arial" w:cs="Arial"/>
                <w:b w:val="0"/>
                <w:bCs w:val="0"/>
                <w:color w:val="404040"/>
                <w:sz w:val="18"/>
                <w:szCs w:val="18"/>
              </w:rPr>
              <w:t>Std Dev</w:t>
            </w:r>
          </w:p>
        </w:tc>
        <w:tc>
          <w:tcPr>
            <w:tcW w:w="1755"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0E512E22">
            <w:pPr>
              <w:jc w:val="left"/>
            </w:pPr>
            <w:r>
              <w:rPr>
                <w:rFonts w:ascii="Arial" w:hAnsi="Arial" w:eastAsia="Arial" w:cs="Arial"/>
                <w:b w:val="0"/>
                <w:bCs w:val="0"/>
                <w:color w:val="404040"/>
                <w:sz w:val="18"/>
                <w:szCs w:val="18"/>
              </w:rPr>
              <w:t>4.99</w:t>
            </w:r>
          </w:p>
        </w:tc>
        <w:tc>
          <w:tcPr>
            <w:tcW w:w="1755"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27062FEE">
            <w:pPr>
              <w:jc w:val="left"/>
            </w:pPr>
            <w:r>
              <w:rPr>
                <w:rFonts w:ascii="Arial" w:hAnsi="Arial" w:eastAsia="Arial" w:cs="Arial"/>
                <w:b w:val="0"/>
                <w:bCs w:val="0"/>
                <w:color w:val="404040"/>
                <w:sz w:val="18"/>
                <w:szCs w:val="18"/>
              </w:rPr>
              <w:t>$25.7K</w:t>
            </w:r>
          </w:p>
        </w:tc>
        <w:tc>
          <w:tcPr>
            <w:tcW w:w="1755"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626404D8">
            <w:pPr>
              <w:jc w:val="left"/>
            </w:pPr>
            <w:r>
              <w:rPr>
                <w:rFonts w:ascii="Arial" w:hAnsi="Arial" w:eastAsia="Arial" w:cs="Arial"/>
                <w:b w:val="0"/>
                <w:bCs w:val="0"/>
                <w:color w:val="404040"/>
                <w:sz w:val="18"/>
                <w:szCs w:val="18"/>
              </w:rPr>
              <w:t>$48.9K</w:t>
            </w:r>
          </w:p>
        </w:tc>
        <w:tc>
          <w:tcPr>
            <w:tcW w:w="1755"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4775BCE1">
            <w:pPr>
              <w:jc w:val="left"/>
            </w:pPr>
            <w:r>
              <w:rPr>
                <w:rFonts w:ascii="Arial" w:hAnsi="Arial" w:eastAsia="Arial" w:cs="Arial"/>
                <w:b w:val="0"/>
                <w:bCs w:val="0"/>
                <w:color w:val="404040"/>
                <w:sz w:val="18"/>
                <w:szCs w:val="18"/>
              </w:rPr>
              <w:t>$75.3K</w:t>
            </w:r>
          </w:p>
        </w:tc>
      </w:tr>
      <w:tr w14:paraId="5E4C2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6A498308">
            <w:pPr>
              <w:jc w:val="left"/>
            </w:pPr>
            <w:r>
              <w:rPr>
                <w:rFonts w:ascii="Arial" w:hAnsi="Arial" w:eastAsia="Arial" w:cs="Arial"/>
                <w:b w:val="0"/>
                <w:bCs w:val="0"/>
                <w:color w:val="404040"/>
                <w:sz w:val="18"/>
                <w:szCs w:val="18"/>
              </w:rPr>
              <w:t>Min</w:t>
            </w:r>
          </w:p>
        </w:tc>
        <w:tc>
          <w:tcPr>
            <w:tcW w:w="1755"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7ACBAE1B">
            <w:pPr>
              <w:jc w:val="left"/>
            </w:pPr>
            <w:r>
              <w:rPr>
                <w:rFonts w:ascii="Arial" w:hAnsi="Arial" w:eastAsia="Arial" w:cs="Arial"/>
                <w:b w:val="0"/>
                <w:bCs w:val="0"/>
                <w:color w:val="404040"/>
                <w:sz w:val="18"/>
                <w:szCs w:val="18"/>
              </w:rPr>
              <w:t>1</w:t>
            </w:r>
          </w:p>
        </w:tc>
        <w:tc>
          <w:tcPr>
            <w:tcW w:w="1755"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74E6F4E5">
            <w:pPr>
              <w:jc w:val="left"/>
            </w:pPr>
            <w:r>
              <w:rPr>
                <w:rFonts w:ascii="Arial" w:hAnsi="Arial" w:eastAsia="Arial" w:cs="Arial"/>
                <w:b w:val="0"/>
                <w:bCs w:val="0"/>
                <w:color w:val="404040"/>
                <w:sz w:val="18"/>
                <w:szCs w:val="18"/>
              </w:rPr>
              <w:t>$11K</w:t>
            </w:r>
          </w:p>
        </w:tc>
        <w:tc>
          <w:tcPr>
            <w:tcW w:w="1755"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1193191C">
            <w:pPr>
              <w:jc w:val="left"/>
            </w:pPr>
            <w:r>
              <w:rPr>
                <w:rFonts w:ascii="Arial" w:hAnsi="Arial" w:eastAsia="Arial" w:cs="Arial"/>
                <w:b w:val="0"/>
                <w:bCs w:val="0"/>
                <w:color w:val="404040"/>
                <w:sz w:val="18"/>
                <w:szCs w:val="18"/>
              </w:rPr>
              <w:t>$38.5K</w:t>
            </w:r>
          </w:p>
        </w:tc>
        <w:tc>
          <w:tcPr>
            <w:tcW w:w="1755"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5A945788">
            <w:pPr>
              <w:jc w:val="left"/>
            </w:pPr>
            <w:r>
              <w:rPr>
                <w:rFonts w:ascii="Arial" w:hAnsi="Arial" w:eastAsia="Arial" w:cs="Arial"/>
                <w:b w:val="0"/>
                <w:bCs w:val="0"/>
                <w:color w:val="404040"/>
                <w:sz w:val="18"/>
                <w:szCs w:val="18"/>
              </w:rPr>
              <w:t>$6K</w:t>
            </w:r>
          </w:p>
        </w:tc>
      </w:tr>
      <w:tr w14:paraId="0F875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1CF15001">
            <w:pPr>
              <w:jc w:val="left"/>
            </w:pPr>
            <w:r>
              <w:rPr>
                <w:rFonts w:ascii="Arial" w:hAnsi="Arial" w:eastAsia="Arial" w:cs="Arial"/>
                <w:b w:val="0"/>
                <w:bCs w:val="0"/>
                <w:color w:val="404040"/>
                <w:sz w:val="18"/>
                <w:szCs w:val="18"/>
              </w:rPr>
              <w:t>Median</w:t>
            </w:r>
          </w:p>
        </w:tc>
        <w:tc>
          <w:tcPr>
            <w:tcW w:w="1755"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30B032E3">
            <w:pPr>
              <w:jc w:val="left"/>
            </w:pPr>
            <w:r>
              <w:rPr>
                <w:rFonts w:ascii="Arial" w:hAnsi="Arial" w:eastAsia="Arial" w:cs="Arial"/>
                <w:b w:val="0"/>
                <w:bCs w:val="0"/>
                <w:color w:val="404040"/>
                <w:sz w:val="18"/>
                <w:szCs w:val="18"/>
              </w:rPr>
              <w:t>5</w:t>
            </w:r>
          </w:p>
        </w:tc>
        <w:tc>
          <w:tcPr>
            <w:tcW w:w="1755"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23EBE435">
            <w:pPr>
              <w:jc w:val="left"/>
            </w:pPr>
            <w:r>
              <w:rPr>
                <w:rFonts w:ascii="Arial" w:hAnsi="Arial" w:eastAsia="Arial" w:cs="Arial"/>
                <w:b w:val="0"/>
                <w:bCs w:val="0"/>
                <w:color w:val="404040"/>
                <w:sz w:val="18"/>
                <w:szCs w:val="18"/>
              </w:rPr>
              <w:t>$74K</w:t>
            </w:r>
          </w:p>
        </w:tc>
        <w:tc>
          <w:tcPr>
            <w:tcW w:w="1755"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19206ACC">
            <w:pPr>
              <w:jc w:val="left"/>
            </w:pPr>
            <w:r>
              <w:rPr>
                <w:rFonts w:ascii="Arial" w:hAnsi="Arial" w:eastAsia="Arial" w:cs="Arial"/>
                <w:b w:val="0"/>
                <w:bCs w:val="0"/>
                <w:color w:val="404040"/>
                <w:sz w:val="18"/>
                <w:szCs w:val="18"/>
              </w:rPr>
              <w:t>$83.75K</w:t>
            </w:r>
          </w:p>
        </w:tc>
        <w:tc>
          <w:tcPr>
            <w:tcW w:w="1755"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175D58A9">
            <w:pPr>
              <w:jc w:val="left"/>
            </w:pPr>
            <w:r>
              <w:rPr>
                <w:rFonts w:ascii="Arial" w:hAnsi="Arial" w:eastAsia="Arial" w:cs="Arial"/>
                <w:b w:val="0"/>
                <w:bCs w:val="0"/>
                <w:color w:val="404040"/>
                <w:sz w:val="18"/>
                <w:szCs w:val="18"/>
              </w:rPr>
              <w:t>$98K</w:t>
            </w:r>
          </w:p>
        </w:tc>
      </w:tr>
      <w:tr w14:paraId="5DDD7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5856BB31">
            <w:pPr>
              <w:jc w:val="left"/>
            </w:pPr>
            <w:r>
              <w:rPr>
                <w:rFonts w:ascii="Arial" w:hAnsi="Arial" w:eastAsia="Arial" w:cs="Arial"/>
                <w:b w:val="0"/>
                <w:bCs w:val="0"/>
                <w:color w:val="404040"/>
                <w:sz w:val="18"/>
                <w:szCs w:val="18"/>
              </w:rPr>
              <w:t>Max</w:t>
            </w:r>
          </w:p>
        </w:tc>
        <w:tc>
          <w:tcPr>
            <w:tcW w:w="1755"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487BCA92">
            <w:pPr>
              <w:jc w:val="left"/>
            </w:pPr>
            <w:r>
              <w:rPr>
                <w:rFonts w:ascii="Arial" w:hAnsi="Arial" w:eastAsia="Arial" w:cs="Arial"/>
                <w:b w:val="0"/>
                <w:bCs w:val="0"/>
                <w:color w:val="404040"/>
                <w:sz w:val="18"/>
                <w:szCs w:val="18"/>
              </w:rPr>
              <w:t>20</w:t>
            </w:r>
          </w:p>
        </w:tc>
        <w:tc>
          <w:tcPr>
            <w:tcW w:w="1755"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1E40DD67">
            <w:pPr>
              <w:jc w:val="left"/>
            </w:pPr>
            <w:r>
              <w:rPr>
                <w:rFonts w:ascii="Arial" w:hAnsi="Arial" w:eastAsia="Arial" w:cs="Arial"/>
                <w:b w:val="0"/>
                <w:bCs w:val="0"/>
                <w:color w:val="404040"/>
                <w:sz w:val="18"/>
                <w:szCs w:val="18"/>
              </w:rPr>
              <w:t>$158K</w:t>
            </w:r>
          </w:p>
        </w:tc>
        <w:tc>
          <w:tcPr>
            <w:tcW w:w="1755"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48329452">
            <w:pPr>
              <w:jc w:val="left"/>
            </w:pPr>
            <w:r>
              <w:rPr>
                <w:rFonts w:ascii="Arial" w:hAnsi="Arial" w:eastAsia="Arial" w:cs="Arial"/>
                <w:b w:val="0"/>
                <w:bCs w:val="0"/>
                <w:color w:val="404040"/>
                <w:sz w:val="18"/>
                <w:szCs w:val="18"/>
              </w:rPr>
              <w:t>$302.5K</w:t>
            </w:r>
          </w:p>
        </w:tc>
        <w:tc>
          <w:tcPr>
            <w:tcW w:w="1755"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55082D73">
            <w:pPr>
              <w:jc w:val="left"/>
            </w:pPr>
            <w:r>
              <w:rPr>
                <w:rFonts w:ascii="Arial" w:hAnsi="Arial" w:eastAsia="Arial" w:cs="Arial"/>
                <w:b w:val="0"/>
                <w:bCs w:val="0"/>
                <w:color w:val="404040"/>
                <w:sz w:val="18"/>
                <w:szCs w:val="18"/>
              </w:rPr>
              <w:t>$447K</w:t>
            </w:r>
          </w:p>
        </w:tc>
      </w:tr>
    </w:tbl>
    <w:p w14:paraId="61D8AF1D">
      <w:pPr>
        <w:spacing w:before="80" w:after="0"/>
      </w:pPr>
    </w:p>
    <w:p w14:paraId="4FE2E459">
      <w:pPr>
        <w:pStyle w:val="2"/>
        <w:spacing w:before="300" w:after="80"/>
      </w:pPr>
      <w:r>
        <w:rPr>
          <w:rFonts w:ascii="Arial" w:hAnsi="Arial" w:eastAsia="Arial" w:cs="Arial"/>
          <w:b/>
          <w:bCs/>
          <w:color w:val="1F3864"/>
          <w:sz w:val="36"/>
          <w:szCs w:val="36"/>
        </w:rPr>
        <w:t>5. Methodology</w:t>
      </w:r>
    </w:p>
    <w:p w14:paraId="40262B88">
      <w:pPr>
        <w:pBdr>
          <w:bottom w:val="single" w:color="2E75B6" w:sz="8" w:space="1"/>
        </w:pBdr>
        <w:spacing w:before="60" w:after="60"/>
      </w:pPr>
    </w:p>
    <w:p w14:paraId="1A183E23">
      <w:pPr>
        <w:pStyle w:val="3"/>
        <w:spacing w:before="240" w:after="80"/>
      </w:pPr>
      <w:r>
        <w:rPr>
          <w:rFonts w:ascii="Arial" w:hAnsi="Arial" w:eastAsia="Arial" w:cs="Arial"/>
          <w:b/>
          <w:bCs/>
          <w:color w:val="2E75B6"/>
          <w:sz w:val="28"/>
          <w:szCs w:val="28"/>
        </w:rPr>
        <w:t>5.1 Data Wrangling</w:t>
      </w:r>
    </w:p>
    <w:p w14:paraId="1CDDBED7">
      <w:pPr>
        <w:spacing w:before="60" w:after="60"/>
        <w:jc w:val="left"/>
      </w:pPr>
      <w:r>
        <w:rPr>
          <w:rFonts w:ascii="Arial" w:hAnsi="Arial" w:eastAsia="Arial" w:cs="Arial"/>
          <w:b w:val="0"/>
          <w:bCs w:val="0"/>
          <w:color w:val="404040"/>
          <w:sz w:val="20"/>
          <w:szCs w:val="20"/>
        </w:rPr>
        <w:t>A dedicated wrangle() function was implemented to ensure reproducibility across data loading sessions. The function performs the following operations:</w:t>
      </w:r>
    </w:p>
    <w:p w14:paraId="22042F99">
      <w:pPr>
        <w:pStyle w:val="14"/>
        <w:numPr>
          <w:ilvl w:val="0"/>
          <w:numId w:val="1"/>
        </w:numPr>
        <w:spacing w:before="40" w:after="40"/>
      </w:pPr>
      <w:r>
        <w:rPr>
          <w:rFonts w:ascii="Arial" w:hAnsi="Arial" w:eastAsia="Arial" w:cs="Arial"/>
          <w:color w:val="404040"/>
          <w:sz w:val="20"/>
          <w:szCs w:val="20"/>
        </w:rPr>
        <w:t>Reads the source CSV using pandas.read_csv().</w:t>
      </w:r>
    </w:p>
    <w:p w14:paraId="5B9B3170">
      <w:pPr>
        <w:pStyle w:val="14"/>
        <w:numPr>
          <w:ilvl w:val="0"/>
          <w:numId w:val="1"/>
        </w:numPr>
        <w:spacing w:before="40" w:after="40"/>
      </w:pPr>
      <w:r>
        <w:rPr>
          <w:rFonts w:ascii="Arial" w:hAnsi="Arial" w:eastAsia="Arial" w:cs="Arial"/>
          <w:color w:val="404040"/>
          <w:sz w:val="20"/>
          <w:szCs w:val="20"/>
        </w:rPr>
        <w:t>Drops the composite salary column (salary) to prevent target leakage, retaining only the granular salary_low, salary_mid, and salary_high columns.</w:t>
      </w:r>
    </w:p>
    <w:p w14:paraId="01C9C553">
      <w:pPr>
        <w:pStyle w:val="14"/>
        <w:numPr>
          <w:ilvl w:val="0"/>
          <w:numId w:val="1"/>
        </w:numPr>
        <w:spacing w:before="40" w:after="40"/>
      </w:pPr>
      <w:r>
        <w:rPr>
          <w:rFonts w:ascii="Arial" w:hAnsi="Arial" w:eastAsia="Arial" w:cs="Arial"/>
          <w:color w:val="404040"/>
          <w:sz w:val="20"/>
          <w:szCs w:val="20"/>
        </w:rPr>
        <w:t>Returns a clean DataFrame ready for exploratory analysis and modelling.</w:t>
      </w:r>
    </w:p>
    <w:p w14:paraId="502F4C44">
      <w:pPr>
        <w:spacing w:before="80" w:after="0"/>
      </w:pPr>
    </w:p>
    <w:p w14:paraId="526654E0">
      <w:pPr>
        <w:pStyle w:val="3"/>
        <w:spacing w:before="240" w:after="80"/>
      </w:pPr>
      <w:r>
        <w:rPr>
          <w:rFonts w:ascii="Arial" w:hAnsi="Arial" w:eastAsia="Arial" w:cs="Arial"/>
          <w:b/>
          <w:bCs/>
          <w:color w:val="2E75B6"/>
          <w:sz w:val="28"/>
          <w:szCs w:val="28"/>
        </w:rPr>
        <w:t>5.2 Exploratory Data Analysis</w:t>
      </w:r>
    </w:p>
    <w:p w14:paraId="7797FB11">
      <w:pPr>
        <w:spacing w:before="60" w:after="60"/>
        <w:jc w:val="left"/>
      </w:pPr>
      <w:r>
        <w:rPr>
          <w:rFonts w:ascii="Arial" w:hAnsi="Arial" w:eastAsia="Arial" w:cs="Arial"/>
          <w:b w:val="0"/>
          <w:bCs w:val="0"/>
          <w:color w:val="404040"/>
          <w:sz w:val="20"/>
          <w:szCs w:val="20"/>
        </w:rPr>
        <w:t>EDA was conducted using both seaborn/matplotlib for static visualisations and Plotly Express for interactive charts. Key analytical steps included:</w:t>
      </w:r>
    </w:p>
    <w:p w14:paraId="0C6AC758">
      <w:pPr>
        <w:pStyle w:val="14"/>
        <w:numPr>
          <w:ilvl w:val="0"/>
          <w:numId w:val="1"/>
        </w:numPr>
        <w:spacing w:before="40" w:after="40"/>
      </w:pPr>
      <w:r>
        <w:rPr>
          <w:rFonts w:ascii="Arial" w:hAnsi="Arial" w:eastAsia="Arial" w:cs="Arial"/>
          <w:color w:val="404040"/>
          <w:sz w:val="20"/>
          <w:szCs w:val="20"/>
        </w:rPr>
        <w:t>Distribution analysis of salary_mid across industry sectors to identify segment-level variation.</w:t>
      </w:r>
    </w:p>
    <w:p w14:paraId="4C86CACF">
      <w:pPr>
        <w:pStyle w:val="14"/>
        <w:numPr>
          <w:ilvl w:val="0"/>
          <w:numId w:val="1"/>
        </w:numPr>
        <w:spacing w:before="40" w:after="40"/>
      </w:pPr>
      <w:r>
        <w:rPr>
          <w:rFonts w:ascii="Arial" w:hAnsi="Arial" w:eastAsia="Arial" w:cs="Arial"/>
          <w:color w:val="404040"/>
          <w:sz w:val="20"/>
          <w:szCs w:val="20"/>
        </w:rPr>
        <w:t>Correlation heatmaps revealing strong linear relationships between salary_low, salary_mid, and salary_high, which was instrumental in model selection.</w:t>
      </w:r>
    </w:p>
    <w:p w14:paraId="46800BF3">
      <w:pPr>
        <w:pStyle w:val="14"/>
        <w:numPr>
          <w:ilvl w:val="0"/>
          <w:numId w:val="1"/>
        </w:numPr>
        <w:spacing w:before="40" w:after="40"/>
      </w:pPr>
      <w:r>
        <w:rPr>
          <w:rFonts w:ascii="Arial" w:hAnsi="Arial" w:eastAsia="Arial" w:cs="Arial"/>
          <w:color w:val="404040"/>
          <w:sz w:val="20"/>
          <w:szCs w:val="20"/>
        </w:rPr>
        <w:t>Box-plot comparison of salary bands across exam credential levels, confirming the expected monotonic salary increase with additional examination credentials.</w:t>
      </w:r>
    </w:p>
    <w:p w14:paraId="6B35B7C5">
      <w:pPr>
        <w:pStyle w:val="14"/>
        <w:numPr>
          <w:ilvl w:val="0"/>
          <w:numId w:val="1"/>
        </w:numPr>
        <w:spacing w:before="40" w:after="40"/>
      </w:pPr>
      <w:r>
        <w:rPr>
          <w:rFonts w:ascii="Arial" w:hAnsi="Arial" w:eastAsia="Arial" w:cs="Arial"/>
          <w:color w:val="404040"/>
          <w:sz w:val="20"/>
          <w:szCs w:val="20"/>
        </w:rPr>
        <w:t>Scatter plots of experience versus salary_mid, stratified by industry, showing consistent positive salary trajectories for all four sectors.</w:t>
      </w:r>
    </w:p>
    <w:p w14:paraId="10E8CBEB">
      <w:pPr>
        <w:spacing w:before="80" w:after="0"/>
      </w:pPr>
    </w:p>
    <w:p w14:paraId="12DF68D7">
      <w:pPr>
        <w:spacing w:before="60" w:after="60"/>
        <w:jc w:val="left"/>
      </w:pPr>
      <w:r>
        <w:rPr>
          <w:rFonts w:ascii="Arial" w:hAnsi="Arial" w:eastAsia="Arial" w:cs="Arial"/>
          <w:b w:val="0"/>
          <w:bCs w:val="0"/>
          <w:color w:val="404040"/>
          <w:sz w:val="20"/>
          <w:szCs w:val="20"/>
        </w:rPr>
        <w:t>A key insight from EDA was the near-perfect linear structure within the dataset: mid-point salary is effectively the arithmetic mean of the low and high salary bands. This structural relationship explains the exceptional Linear Regression performance observed in later evaluation.</w:t>
      </w:r>
    </w:p>
    <w:p w14:paraId="79DEF3C7">
      <w:pPr>
        <w:spacing w:before="80" w:after="0"/>
      </w:pPr>
    </w:p>
    <w:p w14:paraId="43725544">
      <w:pPr>
        <w:pStyle w:val="3"/>
        <w:spacing w:before="240" w:after="80"/>
      </w:pPr>
      <w:r>
        <w:rPr>
          <w:rFonts w:ascii="Arial" w:hAnsi="Arial" w:eastAsia="Arial" w:cs="Arial"/>
          <w:b/>
          <w:bCs/>
          <w:color w:val="2E75B6"/>
          <w:sz w:val="28"/>
          <w:szCs w:val="28"/>
        </w:rPr>
        <w:t>5.3 Feature Engineering</w:t>
      </w:r>
    </w:p>
    <w:p w14:paraId="3E20A157">
      <w:pPr>
        <w:spacing w:before="60" w:after="60"/>
        <w:jc w:val="left"/>
      </w:pPr>
      <w:r>
        <w:rPr>
          <w:rFonts w:ascii="Arial" w:hAnsi="Arial" w:eastAsia="Arial" w:cs="Arial"/>
          <w:b w:val="0"/>
          <w:bCs w:val="0"/>
          <w:color w:val="404040"/>
          <w:sz w:val="20"/>
          <w:szCs w:val="20"/>
        </w:rPr>
        <w:t>Given the dataset's compact structure, feature engineering focused on preprocessing rather than the creation of new variables:</w:t>
      </w:r>
    </w:p>
    <w:p w14:paraId="292A4166">
      <w:pPr>
        <w:pStyle w:val="14"/>
        <w:numPr>
          <w:ilvl w:val="0"/>
          <w:numId w:val="1"/>
        </w:numPr>
        <w:spacing w:before="40" w:after="40"/>
      </w:pPr>
      <w:r>
        <w:rPr>
          <w:rFonts w:ascii="Arial" w:hAnsi="Arial" w:eastAsia="Arial" w:cs="Arial"/>
          <w:color w:val="404040"/>
          <w:sz w:val="20"/>
          <w:szCs w:val="20"/>
        </w:rPr>
        <w:t>Categorical encoding: industry and exams were one-hot encoded using category_encoders.OneHotEncoder with handle_unknown='ignore', ensuring robustness to unseen categories at inference time.</w:t>
      </w:r>
    </w:p>
    <w:p w14:paraId="3A670556">
      <w:pPr>
        <w:pStyle w:val="14"/>
        <w:numPr>
          <w:ilvl w:val="0"/>
          <w:numId w:val="1"/>
        </w:numPr>
        <w:spacing w:before="40" w:after="40"/>
      </w:pPr>
      <w:r>
        <w:rPr>
          <w:rFonts w:ascii="Arial" w:hAnsi="Arial" w:eastAsia="Arial" w:cs="Arial"/>
          <w:color w:val="404040"/>
          <w:sz w:val="20"/>
          <w:szCs w:val="20"/>
        </w:rPr>
        <w:t>Numerical imputation: A SimpleImputer with median strategy was applied to the three numerical features (experience, salary_low, salary_high) to gracefully handle any future missing data.</w:t>
      </w:r>
    </w:p>
    <w:p w14:paraId="64C1DDE3">
      <w:pPr>
        <w:pStyle w:val="14"/>
        <w:numPr>
          <w:ilvl w:val="0"/>
          <w:numId w:val="1"/>
        </w:numPr>
        <w:spacing w:before="40" w:after="40"/>
      </w:pPr>
      <w:r>
        <w:rPr>
          <w:rFonts w:ascii="Arial" w:hAnsi="Arial" w:eastAsia="Arial" w:cs="Arial"/>
          <w:color w:val="404040"/>
          <w:sz w:val="20"/>
          <w:szCs w:val="20"/>
        </w:rPr>
        <w:t>The full preprocessing routine was encapsulated in a ColumnTransformer, allowing distinct transformations for numerical and categorical feature groups.</w:t>
      </w:r>
    </w:p>
    <w:p w14:paraId="07B76DA4">
      <w:pPr>
        <w:spacing w:before="80" w:after="0"/>
      </w:pPr>
    </w:p>
    <w:p w14:paraId="35132A59">
      <w:pPr>
        <w:pStyle w:val="3"/>
        <w:spacing w:before="240" w:after="80"/>
      </w:pPr>
      <w:r>
        <w:rPr>
          <w:rFonts w:ascii="Arial" w:hAnsi="Arial" w:eastAsia="Arial" w:cs="Arial"/>
          <w:b/>
          <w:bCs/>
          <w:color w:val="2E75B6"/>
          <w:sz w:val="28"/>
          <w:szCs w:val="28"/>
        </w:rPr>
        <w:t>5.4 Modelling Pipeline</w:t>
      </w:r>
    </w:p>
    <w:p w14:paraId="3D047AB0">
      <w:pPr>
        <w:spacing w:before="60" w:after="60"/>
        <w:jc w:val="left"/>
      </w:pPr>
      <w:r>
        <w:rPr>
          <w:rFonts w:ascii="Arial" w:hAnsi="Arial" w:eastAsia="Arial" w:cs="Arial"/>
          <w:b w:val="0"/>
          <w:bCs w:val="0"/>
          <w:color w:val="404040"/>
          <w:sz w:val="20"/>
          <w:szCs w:val="20"/>
        </w:rPr>
        <w:t>All models were trained within an sklearn Pipeline that chains the preprocessing ColumnTransformer with the estimator. This design guarantees that:</w:t>
      </w:r>
    </w:p>
    <w:p w14:paraId="7236C07B">
      <w:pPr>
        <w:pStyle w:val="14"/>
        <w:numPr>
          <w:ilvl w:val="0"/>
          <w:numId w:val="1"/>
        </w:numPr>
        <w:spacing w:before="40" w:after="40"/>
      </w:pPr>
      <w:r>
        <w:rPr>
          <w:rFonts w:ascii="Arial" w:hAnsi="Arial" w:eastAsia="Arial" w:cs="Arial"/>
          <w:color w:val="404040"/>
          <w:sz w:val="20"/>
          <w:szCs w:val="20"/>
        </w:rPr>
        <w:t>Preprocessing steps are fit exclusively on training data, preventing data leakage.</w:t>
      </w:r>
    </w:p>
    <w:p w14:paraId="17438754">
      <w:pPr>
        <w:pStyle w:val="14"/>
        <w:numPr>
          <w:ilvl w:val="0"/>
          <w:numId w:val="1"/>
        </w:numPr>
        <w:spacing w:before="40" w:after="40"/>
      </w:pPr>
      <w:r>
        <w:rPr>
          <w:rFonts w:ascii="Arial" w:hAnsi="Arial" w:eastAsia="Arial" w:cs="Arial"/>
          <w:color w:val="404040"/>
          <w:sz w:val="20"/>
          <w:szCs w:val="20"/>
        </w:rPr>
        <w:t>The pipeline can be serialised as a single object (via joblib) for downstream deployment.</w:t>
      </w:r>
    </w:p>
    <w:p w14:paraId="7D89134B">
      <w:pPr>
        <w:pStyle w:val="14"/>
        <w:numPr>
          <w:ilvl w:val="0"/>
          <w:numId w:val="1"/>
        </w:numPr>
        <w:spacing w:before="40" w:after="40"/>
      </w:pPr>
      <w:r>
        <w:rPr>
          <w:rFonts w:ascii="Arial" w:hAnsi="Arial" w:eastAsia="Arial" w:cs="Arial"/>
          <w:color w:val="404040"/>
          <w:sz w:val="20"/>
          <w:szCs w:val="20"/>
        </w:rPr>
        <w:t>Inference requires only a raw input DataFrame, with all transformation logic handled internally.</w:t>
      </w:r>
    </w:p>
    <w:p w14:paraId="2EC260C2">
      <w:pPr>
        <w:spacing w:before="80" w:after="0"/>
      </w:pPr>
    </w:p>
    <w:p w14:paraId="5401DB41">
      <w:pPr>
        <w:spacing w:before="60" w:after="60"/>
        <w:jc w:val="left"/>
      </w:pPr>
      <w:r>
        <w:rPr>
          <w:rFonts w:ascii="Arial" w:hAnsi="Arial" w:eastAsia="Arial" w:cs="Arial"/>
          <w:b w:val="0"/>
          <w:bCs w:val="0"/>
          <w:color w:val="404040"/>
          <w:sz w:val="20"/>
          <w:szCs w:val="20"/>
        </w:rPr>
        <w:t>The following candidate models were evaluated: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100C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0D0" w:sz="4" w:space="0"/>
              <w:left w:val="single" w:color="D0D0D0" w:sz="4" w:space="0"/>
              <w:bottom w:val="single" w:color="D0D0D0" w:sz="4" w:space="0"/>
              <w:right w:val="single" w:color="D0D0D0" w:sz="4" w:space="0"/>
            </w:tcBorders>
            <w:shd w:val="clear" w:color="auto" w:fill="2E75B6"/>
            <w:tcMar>
              <w:top w:w="80" w:type="dxa"/>
              <w:left w:w="120" w:type="dxa"/>
              <w:bottom w:w="80" w:type="dxa"/>
              <w:right w:w="120" w:type="dxa"/>
            </w:tcMar>
            <w:vAlign w:val="center"/>
          </w:tcPr>
          <w:p w14:paraId="229B3B6D">
            <w:pPr>
              <w:jc w:val="left"/>
            </w:pPr>
            <w:r>
              <w:rPr>
                <w:rFonts w:ascii="Arial" w:hAnsi="Arial" w:eastAsia="Arial" w:cs="Arial"/>
                <w:b/>
                <w:bCs/>
                <w:color w:val="FFFFFF"/>
                <w:sz w:val="18"/>
                <w:szCs w:val="18"/>
              </w:rPr>
              <w:t>Model</w:t>
            </w:r>
          </w:p>
        </w:tc>
        <w:tc>
          <w:tcPr>
            <w:tcW w:w="6560" w:type="dxa"/>
            <w:tcBorders>
              <w:top w:val="single" w:color="D0D0D0" w:sz="4" w:space="0"/>
              <w:left w:val="single" w:color="D0D0D0" w:sz="4" w:space="0"/>
              <w:bottom w:val="single" w:color="D0D0D0" w:sz="4" w:space="0"/>
              <w:right w:val="single" w:color="D0D0D0" w:sz="4" w:space="0"/>
            </w:tcBorders>
            <w:shd w:val="clear" w:color="auto" w:fill="2E75B6"/>
            <w:tcMar>
              <w:top w:w="80" w:type="dxa"/>
              <w:left w:w="120" w:type="dxa"/>
              <w:bottom w:w="80" w:type="dxa"/>
              <w:right w:w="120" w:type="dxa"/>
            </w:tcMar>
            <w:vAlign w:val="center"/>
          </w:tcPr>
          <w:p w14:paraId="4AD48F82">
            <w:pPr>
              <w:jc w:val="left"/>
            </w:pPr>
            <w:r>
              <w:rPr>
                <w:rFonts w:ascii="Arial" w:hAnsi="Arial" w:eastAsia="Arial" w:cs="Arial"/>
                <w:b/>
                <w:bCs/>
                <w:color w:val="FFFFFF"/>
                <w:sz w:val="18"/>
                <w:szCs w:val="18"/>
              </w:rPr>
              <w:t>Rationale</w:t>
            </w:r>
          </w:p>
        </w:tc>
      </w:tr>
      <w:tr w14:paraId="6E1AD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19B94AFB">
            <w:pPr>
              <w:jc w:val="left"/>
            </w:pPr>
            <w:r>
              <w:rPr>
                <w:rFonts w:ascii="Arial" w:hAnsi="Arial" w:eastAsia="Arial" w:cs="Arial"/>
                <w:b w:val="0"/>
                <w:bCs w:val="0"/>
                <w:color w:val="404040"/>
                <w:sz w:val="18"/>
                <w:szCs w:val="18"/>
              </w:rPr>
              <w:t>Linear Regression</w:t>
            </w:r>
          </w:p>
        </w:tc>
        <w:tc>
          <w:tcPr>
            <w:tcW w:w="656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5B4C7160">
            <w:pPr>
              <w:jc w:val="left"/>
            </w:pPr>
            <w:r>
              <w:rPr>
                <w:rFonts w:ascii="Arial" w:hAnsi="Arial" w:eastAsia="Arial" w:cs="Arial"/>
                <w:b w:val="0"/>
                <w:bCs w:val="0"/>
                <w:color w:val="404040"/>
                <w:sz w:val="18"/>
                <w:szCs w:val="18"/>
              </w:rPr>
              <w:t>Baseline; exploits linear structure between salary bands</w:t>
            </w:r>
          </w:p>
        </w:tc>
      </w:tr>
      <w:tr w14:paraId="7CC99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252A36B2">
            <w:pPr>
              <w:jc w:val="left"/>
            </w:pPr>
            <w:r>
              <w:rPr>
                <w:rFonts w:ascii="Arial" w:hAnsi="Arial" w:eastAsia="Arial" w:cs="Arial"/>
                <w:b w:val="0"/>
                <w:bCs w:val="0"/>
                <w:color w:val="404040"/>
                <w:sz w:val="18"/>
                <w:szCs w:val="18"/>
              </w:rPr>
              <w:t>Ridge Regression</w:t>
            </w:r>
          </w:p>
        </w:tc>
        <w:tc>
          <w:tcPr>
            <w:tcW w:w="656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6698FE5A">
            <w:pPr>
              <w:jc w:val="left"/>
            </w:pPr>
            <w:r>
              <w:rPr>
                <w:rFonts w:ascii="Arial" w:hAnsi="Arial" w:eastAsia="Arial" w:cs="Arial"/>
                <w:b w:val="0"/>
                <w:bCs w:val="0"/>
                <w:color w:val="404040"/>
                <w:sz w:val="18"/>
                <w:szCs w:val="18"/>
              </w:rPr>
              <w:t>L2 regularisation; tested for multi-collinearity robustness</w:t>
            </w:r>
          </w:p>
        </w:tc>
      </w:tr>
      <w:tr w14:paraId="1630F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39612186">
            <w:pPr>
              <w:jc w:val="left"/>
            </w:pPr>
            <w:r>
              <w:rPr>
                <w:rFonts w:ascii="Arial" w:hAnsi="Arial" w:eastAsia="Arial" w:cs="Arial"/>
                <w:b w:val="0"/>
                <w:bCs w:val="0"/>
                <w:color w:val="404040"/>
                <w:sz w:val="18"/>
                <w:szCs w:val="18"/>
              </w:rPr>
              <w:t>Lasso Regression</w:t>
            </w:r>
          </w:p>
        </w:tc>
        <w:tc>
          <w:tcPr>
            <w:tcW w:w="656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6BB0ED43">
            <w:pPr>
              <w:jc w:val="left"/>
            </w:pPr>
            <w:r>
              <w:rPr>
                <w:rFonts w:ascii="Arial" w:hAnsi="Arial" w:eastAsia="Arial" w:cs="Arial"/>
                <w:b w:val="0"/>
                <w:bCs w:val="0"/>
                <w:color w:val="404040"/>
                <w:sz w:val="18"/>
                <w:szCs w:val="18"/>
              </w:rPr>
              <w:t>L1 regularisation; tested for implicit feature selection</w:t>
            </w:r>
          </w:p>
        </w:tc>
      </w:tr>
      <w:tr w14:paraId="406EC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721B5074">
            <w:pPr>
              <w:jc w:val="left"/>
            </w:pPr>
            <w:r>
              <w:rPr>
                <w:rFonts w:ascii="Arial" w:hAnsi="Arial" w:eastAsia="Arial" w:cs="Arial"/>
                <w:b w:val="0"/>
                <w:bCs w:val="0"/>
                <w:color w:val="404040"/>
                <w:sz w:val="18"/>
                <w:szCs w:val="18"/>
              </w:rPr>
              <w:t>Random Forest</w:t>
            </w:r>
          </w:p>
        </w:tc>
        <w:tc>
          <w:tcPr>
            <w:tcW w:w="656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0CD7A589">
            <w:pPr>
              <w:jc w:val="left"/>
            </w:pPr>
            <w:r>
              <w:rPr>
                <w:rFonts w:ascii="Arial" w:hAnsi="Arial" w:eastAsia="Arial" w:cs="Arial"/>
                <w:b w:val="0"/>
                <w:bCs w:val="0"/>
                <w:color w:val="404040"/>
                <w:sz w:val="18"/>
                <w:szCs w:val="18"/>
              </w:rPr>
              <w:t>Ensemble method; tested to capture any non-linear patterns</w:t>
            </w:r>
          </w:p>
        </w:tc>
      </w:tr>
    </w:tbl>
    <w:p w14:paraId="501E7B2A">
      <w:pPr>
        <w:spacing w:before="80" w:after="0"/>
      </w:pPr>
    </w:p>
    <w:p w14:paraId="324EC196">
      <w:pPr>
        <w:spacing w:before="60" w:after="60"/>
        <w:jc w:val="left"/>
      </w:pPr>
      <w:r>
        <w:rPr>
          <w:rFonts w:ascii="Arial" w:hAnsi="Arial" w:eastAsia="Arial" w:cs="Arial"/>
          <w:b w:val="0"/>
          <w:bCs w:val="0"/>
          <w:color w:val="404040"/>
          <w:sz w:val="20"/>
          <w:szCs w:val="20"/>
        </w:rPr>
        <w:t>An 80/20 train-test split was applied with a fixed random state to ensure reproducibility across evaluation runs.</w:t>
      </w:r>
    </w:p>
    <w:p w14:paraId="4ADB8566">
      <w:pPr>
        <w:spacing w:before="80" w:after="0"/>
      </w:pPr>
    </w:p>
    <w:p w14:paraId="52580563">
      <w:pPr>
        <w:pStyle w:val="2"/>
        <w:spacing w:before="300" w:after="80"/>
      </w:pPr>
      <w:r>
        <w:rPr>
          <w:rFonts w:ascii="Arial" w:hAnsi="Arial" w:eastAsia="Arial" w:cs="Arial"/>
          <w:b/>
          <w:bCs/>
          <w:color w:val="1F3864"/>
          <w:sz w:val="36"/>
          <w:szCs w:val="36"/>
        </w:rPr>
        <w:t>6. Model Evaluation &amp; Results</w:t>
      </w:r>
    </w:p>
    <w:p w14:paraId="43F26F50">
      <w:pPr>
        <w:pBdr>
          <w:bottom w:val="single" w:color="2E75B6" w:sz="8" w:space="1"/>
        </w:pBdr>
        <w:spacing w:before="60" w:after="60"/>
      </w:pPr>
    </w:p>
    <w:p w14:paraId="7DFD42D5">
      <w:pPr>
        <w:pStyle w:val="3"/>
        <w:spacing w:before="240" w:after="80"/>
      </w:pPr>
      <w:r>
        <w:rPr>
          <w:rFonts w:ascii="Arial" w:hAnsi="Arial" w:eastAsia="Arial" w:cs="Arial"/>
          <w:b/>
          <w:bCs/>
          <w:color w:val="2E75B6"/>
          <w:sz w:val="28"/>
          <w:szCs w:val="28"/>
        </w:rPr>
        <w:t>6.1 Performance Metrics</w:t>
      </w:r>
    </w:p>
    <w:p w14:paraId="13CE0776">
      <w:pPr>
        <w:spacing w:before="60" w:after="60"/>
        <w:jc w:val="left"/>
      </w:pPr>
      <w:r>
        <w:rPr>
          <w:rFonts w:ascii="Arial" w:hAnsi="Arial" w:eastAsia="Arial" w:cs="Arial"/>
          <w:b w:val="0"/>
          <w:bCs w:val="0"/>
          <w:color w:val="404040"/>
          <w:sz w:val="20"/>
          <w:szCs w:val="20"/>
        </w:rPr>
        <w:t>All models were evaluated on the held-out test set using three standard regression metrics:</w:t>
      </w:r>
    </w:p>
    <w:p w14:paraId="05C04F49">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187"/>
        <w:gridCol w:w="2187"/>
        <w:gridCol w:w="2186"/>
      </w:tblGrid>
      <w:tr w14:paraId="7510B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0D0" w:sz="4" w:space="0"/>
              <w:left w:val="single" w:color="D0D0D0" w:sz="4" w:space="0"/>
              <w:bottom w:val="single" w:color="D0D0D0" w:sz="4" w:space="0"/>
              <w:right w:val="single" w:color="D0D0D0" w:sz="4" w:space="0"/>
            </w:tcBorders>
            <w:shd w:val="clear" w:color="auto" w:fill="2E75B6"/>
            <w:tcMar>
              <w:top w:w="80" w:type="dxa"/>
              <w:left w:w="120" w:type="dxa"/>
              <w:bottom w:w="80" w:type="dxa"/>
              <w:right w:w="120" w:type="dxa"/>
            </w:tcMar>
            <w:vAlign w:val="center"/>
          </w:tcPr>
          <w:p w14:paraId="431F6710">
            <w:pPr>
              <w:jc w:val="left"/>
            </w:pPr>
            <w:r>
              <w:rPr>
                <w:rFonts w:ascii="Arial" w:hAnsi="Arial" w:eastAsia="Arial" w:cs="Arial"/>
                <w:b/>
                <w:bCs/>
                <w:color w:val="FFFFFF"/>
                <w:sz w:val="18"/>
                <w:szCs w:val="18"/>
              </w:rPr>
              <w:t>Model</w:t>
            </w:r>
          </w:p>
        </w:tc>
        <w:tc>
          <w:tcPr>
            <w:tcW w:w="2187" w:type="dxa"/>
            <w:tcBorders>
              <w:top w:val="single" w:color="D0D0D0" w:sz="4" w:space="0"/>
              <w:left w:val="single" w:color="D0D0D0" w:sz="4" w:space="0"/>
              <w:bottom w:val="single" w:color="D0D0D0" w:sz="4" w:space="0"/>
              <w:right w:val="single" w:color="D0D0D0" w:sz="4" w:space="0"/>
            </w:tcBorders>
            <w:shd w:val="clear" w:color="auto" w:fill="2E75B6"/>
            <w:tcMar>
              <w:top w:w="80" w:type="dxa"/>
              <w:left w:w="120" w:type="dxa"/>
              <w:bottom w:w="80" w:type="dxa"/>
              <w:right w:w="120" w:type="dxa"/>
            </w:tcMar>
            <w:vAlign w:val="center"/>
          </w:tcPr>
          <w:p w14:paraId="457C2FBD">
            <w:pPr>
              <w:jc w:val="left"/>
            </w:pPr>
            <w:r>
              <w:rPr>
                <w:rFonts w:ascii="Arial" w:hAnsi="Arial" w:eastAsia="Arial" w:cs="Arial"/>
                <w:b/>
                <w:bCs/>
                <w:color w:val="FFFFFF"/>
                <w:sz w:val="18"/>
                <w:szCs w:val="18"/>
              </w:rPr>
              <w:t>MAE (USD K)</w:t>
            </w:r>
          </w:p>
        </w:tc>
        <w:tc>
          <w:tcPr>
            <w:tcW w:w="2187" w:type="dxa"/>
            <w:tcBorders>
              <w:top w:val="single" w:color="D0D0D0" w:sz="4" w:space="0"/>
              <w:left w:val="single" w:color="D0D0D0" w:sz="4" w:space="0"/>
              <w:bottom w:val="single" w:color="D0D0D0" w:sz="4" w:space="0"/>
              <w:right w:val="single" w:color="D0D0D0" w:sz="4" w:space="0"/>
            </w:tcBorders>
            <w:shd w:val="clear" w:color="auto" w:fill="2E75B6"/>
            <w:tcMar>
              <w:top w:w="80" w:type="dxa"/>
              <w:left w:w="120" w:type="dxa"/>
              <w:bottom w:w="80" w:type="dxa"/>
              <w:right w:w="120" w:type="dxa"/>
            </w:tcMar>
            <w:vAlign w:val="center"/>
          </w:tcPr>
          <w:p w14:paraId="008839A6">
            <w:pPr>
              <w:jc w:val="left"/>
            </w:pPr>
            <w:r>
              <w:rPr>
                <w:rFonts w:ascii="Arial" w:hAnsi="Arial" w:eastAsia="Arial" w:cs="Arial"/>
                <w:b/>
                <w:bCs/>
                <w:color w:val="FFFFFF"/>
                <w:sz w:val="18"/>
                <w:szCs w:val="18"/>
              </w:rPr>
              <w:t>RMSE (USD K)</w:t>
            </w:r>
          </w:p>
        </w:tc>
        <w:tc>
          <w:tcPr>
            <w:tcW w:w="2186" w:type="dxa"/>
            <w:tcBorders>
              <w:top w:val="single" w:color="D0D0D0" w:sz="4" w:space="0"/>
              <w:left w:val="single" w:color="D0D0D0" w:sz="4" w:space="0"/>
              <w:bottom w:val="single" w:color="D0D0D0" w:sz="4" w:space="0"/>
              <w:right w:val="single" w:color="D0D0D0" w:sz="4" w:space="0"/>
            </w:tcBorders>
            <w:shd w:val="clear" w:color="auto" w:fill="2E75B6"/>
            <w:tcMar>
              <w:top w:w="80" w:type="dxa"/>
              <w:left w:w="120" w:type="dxa"/>
              <w:bottom w:w="80" w:type="dxa"/>
              <w:right w:w="120" w:type="dxa"/>
            </w:tcMar>
            <w:vAlign w:val="center"/>
          </w:tcPr>
          <w:p w14:paraId="3AF21DBB">
            <w:pPr>
              <w:jc w:val="left"/>
            </w:pPr>
            <w:r>
              <w:rPr>
                <w:rFonts w:ascii="Arial" w:hAnsi="Arial" w:eastAsia="Arial" w:cs="Arial"/>
                <w:b/>
                <w:bCs/>
                <w:color w:val="FFFFFF"/>
                <w:sz w:val="18"/>
                <w:szCs w:val="18"/>
              </w:rPr>
              <w:t>R²</w:t>
            </w:r>
          </w:p>
        </w:tc>
      </w:tr>
      <w:tr w14:paraId="6FBA1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0D0" w:sz="4" w:space="0"/>
              <w:left w:val="single" w:color="D0D0D0" w:sz="4" w:space="0"/>
              <w:bottom w:val="single" w:color="D0D0D0" w:sz="4" w:space="0"/>
              <w:right w:val="single" w:color="D0D0D0" w:sz="4" w:space="0"/>
            </w:tcBorders>
            <w:shd w:val="clear" w:color="auto" w:fill="D6E4F0"/>
            <w:tcMar>
              <w:top w:w="80" w:type="dxa"/>
              <w:left w:w="120" w:type="dxa"/>
              <w:bottom w:w="80" w:type="dxa"/>
              <w:right w:w="120" w:type="dxa"/>
            </w:tcMar>
            <w:vAlign w:val="center"/>
          </w:tcPr>
          <w:p w14:paraId="6ECB45D2">
            <w:pPr>
              <w:jc w:val="left"/>
            </w:pPr>
            <w:r>
              <w:rPr>
                <w:rFonts w:ascii="Arial" w:hAnsi="Arial" w:eastAsia="Arial" w:cs="Arial"/>
                <w:b/>
                <w:bCs/>
                <w:color w:val="404040"/>
                <w:sz w:val="18"/>
                <w:szCs w:val="18"/>
              </w:rPr>
              <w:t>Linear Regression ★</w:t>
            </w:r>
          </w:p>
        </w:tc>
        <w:tc>
          <w:tcPr>
            <w:tcW w:w="2187" w:type="dxa"/>
            <w:tcBorders>
              <w:top w:val="single" w:color="D0D0D0" w:sz="4" w:space="0"/>
              <w:left w:val="single" w:color="D0D0D0" w:sz="4" w:space="0"/>
              <w:bottom w:val="single" w:color="D0D0D0" w:sz="4" w:space="0"/>
              <w:right w:val="single" w:color="D0D0D0" w:sz="4" w:space="0"/>
            </w:tcBorders>
            <w:shd w:val="clear" w:color="auto" w:fill="D6E4F0"/>
            <w:tcMar>
              <w:top w:w="80" w:type="dxa"/>
              <w:left w:w="120" w:type="dxa"/>
              <w:bottom w:w="80" w:type="dxa"/>
              <w:right w:w="120" w:type="dxa"/>
            </w:tcMar>
            <w:vAlign w:val="center"/>
          </w:tcPr>
          <w:p w14:paraId="23447506">
            <w:pPr>
              <w:jc w:val="left"/>
            </w:pPr>
            <w:r>
              <w:rPr>
                <w:rFonts w:hint="default"/>
              </w:rPr>
              <w:t>7.612958e-15</w:t>
            </w:r>
            <w:r>
              <w:rPr>
                <w:rFonts w:hint="default"/>
              </w:rPr>
              <w:tab/>
            </w:r>
          </w:p>
        </w:tc>
        <w:tc>
          <w:tcPr>
            <w:tcW w:w="2187" w:type="dxa"/>
            <w:tcBorders>
              <w:top w:val="single" w:color="D0D0D0" w:sz="4" w:space="0"/>
              <w:left w:val="single" w:color="D0D0D0" w:sz="4" w:space="0"/>
              <w:bottom w:val="single" w:color="D0D0D0" w:sz="4" w:space="0"/>
              <w:right w:val="single" w:color="D0D0D0" w:sz="4" w:space="0"/>
            </w:tcBorders>
            <w:shd w:val="clear" w:color="auto" w:fill="D6E4F0"/>
            <w:tcMar>
              <w:top w:w="80" w:type="dxa"/>
              <w:left w:w="120" w:type="dxa"/>
              <w:bottom w:w="80" w:type="dxa"/>
              <w:right w:w="120" w:type="dxa"/>
            </w:tcMar>
            <w:vAlign w:val="center"/>
          </w:tcPr>
          <w:p w14:paraId="1F7B483E">
            <w:pPr>
              <w:jc w:val="left"/>
            </w:pPr>
            <w:r>
              <w:rPr>
                <w:rFonts w:hint="default"/>
              </w:rPr>
              <w:t>1.329304e-14</w:t>
            </w:r>
            <w:r>
              <w:rPr>
                <w:rFonts w:hint="default"/>
              </w:rPr>
              <w:tab/>
            </w:r>
          </w:p>
        </w:tc>
        <w:tc>
          <w:tcPr>
            <w:tcW w:w="2186" w:type="dxa"/>
            <w:tcBorders>
              <w:top w:val="single" w:color="D0D0D0" w:sz="4" w:space="0"/>
              <w:left w:val="single" w:color="D0D0D0" w:sz="4" w:space="0"/>
              <w:bottom w:val="single" w:color="D0D0D0" w:sz="4" w:space="0"/>
              <w:right w:val="single" w:color="D0D0D0" w:sz="4" w:space="0"/>
            </w:tcBorders>
            <w:shd w:val="clear" w:color="auto" w:fill="D6E4F0"/>
            <w:tcMar>
              <w:top w:w="80" w:type="dxa"/>
              <w:left w:w="120" w:type="dxa"/>
              <w:bottom w:w="80" w:type="dxa"/>
              <w:right w:w="120" w:type="dxa"/>
            </w:tcMar>
            <w:vAlign w:val="center"/>
          </w:tcPr>
          <w:p w14:paraId="0634A0C5">
            <w:pPr>
              <w:jc w:val="left"/>
            </w:pPr>
            <w:r>
              <w:rPr>
                <w:rFonts w:ascii="Arial" w:hAnsi="Arial" w:eastAsia="Arial" w:cs="Arial"/>
                <w:b/>
                <w:bCs/>
                <w:color w:val="404040"/>
                <w:sz w:val="18"/>
                <w:szCs w:val="18"/>
              </w:rPr>
              <w:t>1.000</w:t>
            </w:r>
          </w:p>
        </w:tc>
      </w:tr>
      <w:tr w14:paraId="498D9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1244D5DE">
            <w:pPr>
              <w:jc w:val="left"/>
            </w:pPr>
            <w:r>
              <w:rPr>
                <w:rFonts w:ascii="Arial" w:hAnsi="Arial" w:eastAsia="Arial" w:cs="Arial"/>
                <w:b w:val="0"/>
                <w:bCs w:val="0"/>
                <w:color w:val="404040"/>
                <w:sz w:val="18"/>
                <w:szCs w:val="18"/>
              </w:rPr>
              <w:t>Ridge Regression</w:t>
            </w:r>
          </w:p>
        </w:tc>
        <w:tc>
          <w:tcPr>
            <w:tcW w:w="2187"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1BB1E5A2">
            <w:pPr>
              <w:jc w:val="left"/>
            </w:pPr>
            <w:r>
              <w:rPr>
                <w:rFonts w:hint="default"/>
              </w:rPr>
              <w:t>2.998656e-04</w:t>
            </w:r>
            <w:r>
              <w:rPr>
                <w:rFonts w:hint="default"/>
              </w:rPr>
              <w:tab/>
            </w:r>
          </w:p>
        </w:tc>
        <w:tc>
          <w:tcPr>
            <w:tcW w:w="2187"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1114B470">
            <w:pPr>
              <w:jc w:val="left"/>
            </w:pPr>
            <w:r>
              <w:rPr>
                <w:rFonts w:hint="default"/>
              </w:rPr>
              <w:t>4.282206e-04</w:t>
            </w:r>
          </w:p>
        </w:tc>
        <w:tc>
          <w:tcPr>
            <w:tcW w:w="2186"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17E79377">
            <w:pPr>
              <w:jc w:val="left"/>
            </w:pPr>
            <w:r>
              <w:rPr>
                <w:rFonts w:hint="default"/>
              </w:rPr>
              <w:t>1.000</w:t>
            </w:r>
          </w:p>
        </w:tc>
      </w:tr>
      <w:tr w14:paraId="56B82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117DF08B">
            <w:pPr>
              <w:jc w:val="left"/>
            </w:pPr>
            <w:r>
              <w:rPr>
                <w:rFonts w:ascii="Arial" w:hAnsi="Arial" w:eastAsia="Arial" w:cs="Arial"/>
                <w:b w:val="0"/>
                <w:bCs w:val="0"/>
                <w:color w:val="404040"/>
                <w:sz w:val="18"/>
                <w:szCs w:val="18"/>
              </w:rPr>
              <w:t>Lasso Regression</w:t>
            </w:r>
          </w:p>
        </w:tc>
        <w:tc>
          <w:tcPr>
            <w:tcW w:w="2187"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532A41E8">
            <w:pPr>
              <w:jc w:val="left"/>
            </w:pPr>
            <w:r>
              <w:rPr>
                <w:rFonts w:hint="default"/>
              </w:rPr>
              <w:t>1.219747e-03</w:t>
            </w:r>
          </w:p>
        </w:tc>
        <w:tc>
          <w:tcPr>
            <w:tcW w:w="2187"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63CAD5C1">
            <w:pPr>
              <w:jc w:val="left"/>
            </w:pPr>
            <w:r>
              <w:rPr>
                <w:rFonts w:hint="default"/>
              </w:rPr>
              <w:t>1.506211e-03</w:t>
            </w:r>
          </w:p>
        </w:tc>
        <w:tc>
          <w:tcPr>
            <w:tcW w:w="2186"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2B5CB0EB">
            <w:pPr>
              <w:jc w:val="left"/>
            </w:pPr>
            <w:r>
              <w:rPr>
                <w:rFonts w:hint="default"/>
              </w:rPr>
              <w:t>1.000</w:t>
            </w:r>
          </w:p>
        </w:tc>
      </w:tr>
      <w:tr w14:paraId="3602C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2AA541CF">
            <w:pPr>
              <w:jc w:val="left"/>
            </w:pPr>
            <w:r>
              <w:rPr>
                <w:rFonts w:ascii="Arial" w:hAnsi="Arial" w:eastAsia="Arial" w:cs="Arial"/>
                <w:b w:val="0"/>
                <w:bCs w:val="0"/>
                <w:color w:val="404040"/>
                <w:sz w:val="18"/>
                <w:szCs w:val="18"/>
              </w:rPr>
              <w:t>Random Forest</w:t>
            </w:r>
          </w:p>
        </w:tc>
        <w:tc>
          <w:tcPr>
            <w:tcW w:w="2187"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6A699426">
            <w:pPr>
              <w:jc w:val="left"/>
            </w:pPr>
            <w:r>
              <w:rPr>
                <w:rFonts w:hint="default"/>
              </w:rPr>
              <w:t>4.209821e+00</w:t>
            </w:r>
          </w:p>
        </w:tc>
        <w:tc>
          <w:tcPr>
            <w:tcW w:w="2187"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25F4EF82">
            <w:pPr>
              <w:jc w:val="left"/>
            </w:pPr>
            <w:r>
              <w:rPr>
                <w:rFonts w:hint="default"/>
              </w:rPr>
              <w:t>6.466857e+00</w:t>
            </w:r>
          </w:p>
        </w:tc>
        <w:tc>
          <w:tcPr>
            <w:tcW w:w="2186"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25D15536">
            <w:pPr>
              <w:jc w:val="left"/>
            </w:pPr>
            <w:r>
              <w:rPr>
                <w:rFonts w:hint="default"/>
              </w:rPr>
              <w:t>0.986732</w:t>
            </w:r>
          </w:p>
        </w:tc>
      </w:tr>
    </w:tbl>
    <w:p w14:paraId="39B7AD7E">
      <w:pPr>
        <w:spacing w:before="60" w:after="60"/>
        <w:jc w:val="left"/>
      </w:pPr>
      <w:r>
        <w:rPr>
          <w:rFonts w:ascii="Arial" w:hAnsi="Arial" w:eastAsia="Arial" w:cs="Arial"/>
          <w:b w:val="0"/>
          <w:bCs w:val="0"/>
          <w:color w:val="595959"/>
          <w:sz w:val="20"/>
          <w:szCs w:val="20"/>
        </w:rPr>
        <w:t>★ Selected best model.    — Regularised variants evaluated but not required given Linear Regression dominance.</w:t>
      </w:r>
    </w:p>
    <w:p w14:paraId="4A8ABF3F">
      <w:pPr>
        <w:spacing w:before="80" w:after="0"/>
      </w:pPr>
    </w:p>
    <w:p w14:paraId="36708394">
      <w:pPr>
        <w:pStyle w:val="3"/>
        <w:spacing w:before="240" w:after="80"/>
      </w:pPr>
      <w:r>
        <w:rPr>
          <w:rFonts w:ascii="Arial" w:hAnsi="Arial" w:eastAsia="Arial" w:cs="Arial"/>
          <w:b/>
          <w:bCs/>
          <w:color w:val="2E75B6"/>
          <w:sz w:val="28"/>
          <w:szCs w:val="28"/>
        </w:rPr>
        <w:t>6.2 Interpretation of Results</w:t>
      </w:r>
    </w:p>
    <w:p w14:paraId="6C996742">
      <w:pPr>
        <w:spacing w:before="60" w:after="60"/>
        <w:jc w:val="left"/>
      </w:pPr>
      <w:r>
        <w:rPr>
          <w:rFonts w:ascii="Arial" w:hAnsi="Arial" w:eastAsia="Arial" w:cs="Arial"/>
          <w:b w:val="0"/>
          <w:bCs w:val="0"/>
          <w:color w:val="404040"/>
          <w:sz w:val="20"/>
          <w:szCs w:val="20"/>
        </w:rPr>
        <w:t>The Linear Regression model's perfect R² result is not a symptom of model over-fitting; it reflects a mathematically consistent relationship embedded in the data itself: salary_mid is structurally defined as the average of salary_low and salary_high. This deterministic relationship means that once salary_low and salary_high are included as features, a linear model can recover salary_mid with negligible error.</w:t>
      </w:r>
    </w:p>
    <w:p w14:paraId="1C1A8905">
      <w:pPr>
        <w:spacing w:before="80" w:after="0"/>
      </w:pPr>
    </w:p>
    <w:p w14:paraId="7D64D382">
      <w:pPr>
        <w:spacing w:before="60" w:after="60"/>
        <w:jc w:val="left"/>
      </w:pPr>
      <w:r>
        <w:rPr>
          <w:rFonts w:ascii="Arial" w:hAnsi="Arial" w:eastAsia="Arial" w:cs="Arial"/>
          <w:b w:val="0"/>
          <w:bCs w:val="0"/>
          <w:color w:val="404040"/>
          <w:sz w:val="20"/>
          <w:szCs w:val="20"/>
        </w:rPr>
        <w:t>This finding carries an important caveat: the model's predictive power is contingent on the availability of salary_low and salary_high at inference time. In real-world deployment scenarios where only industry, exams, and experience are known (without the salary band endpoints), model performance would be expected to decrease. Future iterations should therefore explore a lean variant that excludes salary band features to test standalone predictive capability.</w:t>
      </w:r>
    </w:p>
    <w:p w14:paraId="0F5E94B7">
      <w:pPr>
        <w:spacing w:before="80" w:after="0"/>
      </w:pPr>
    </w:p>
    <w:p w14:paraId="5FC8CF57">
      <w:pPr>
        <w:pStyle w:val="2"/>
        <w:spacing w:before="300" w:after="80"/>
      </w:pPr>
      <w:r>
        <w:rPr>
          <w:rFonts w:ascii="Arial" w:hAnsi="Arial" w:eastAsia="Arial" w:cs="Arial"/>
          <w:b/>
          <w:bCs/>
          <w:color w:val="1F3864"/>
          <w:sz w:val="36"/>
          <w:szCs w:val="36"/>
        </w:rPr>
        <w:t>7. Deployment — Interactive Prediction Tool</w:t>
      </w:r>
    </w:p>
    <w:p w14:paraId="4ABF2A03">
      <w:pPr>
        <w:pBdr>
          <w:bottom w:val="single" w:color="2E75B6" w:sz="8" w:space="1"/>
        </w:pBdr>
        <w:spacing w:before="60" w:after="60"/>
      </w:pPr>
    </w:p>
    <w:p w14:paraId="6D5CA4C9">
      <w:pPr>
        <w:spacing w:before="60" w:after="60"/>
        <w:jc w:val="left"/>
      </w:pPr>
      <w:r>
        <w:rPr>
          <w:rFonts w:ascii="Arial" w:hAnsi="Arial" w:eastAsia="Arial" w:cs="Arial"/>
          <w:b w:val="0"/>
          <w:bCs w:val="0"/>
          <w:color w:val="404040"/>
          <w:sz w:val="20"/>
          <w:szCs w:val="20"/>
        </w:rPr>
        <w:t>An interactive prediction widget was built using Jupyter's ipywidgets library, enabling non-technical users to generate salary estimates without writing code. The widget exposes the following controls:</w:t>
      </w:r>
    </w:p>
    <w:p w14:paraId="7083CD76">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4680"/>
      </w:tblGrid>
      <w:tr w14:paraId="58A7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0D0D0" w:sz="4" w:space="0"/>
              <w:left w:val="single" w:color="D0D0D0" w:sz="4" w:space="0"/>
              <w:bottom w:val="single" w:color="D0D0D0" w:sz="4" w:space="0"/>
              <w:right w:val="single" w:color="D0D0D0" w:sz="4" w:space="0"/>
            </w:tcBorders>
            <w:shd w:val="clear" w:color="auto" w:fill="2E75B6"/>
            <w:tcMar>
              <w:top w:w="80" w:type="dxa"/>
              <w:left w:w="120" w:type="dxa"/>
              <w:bottom w:w="80" w:type="dxa"/>
              <w:right w:w="120" w:type="dxa"/>
            </w:tcMar>
            <w:vAlign w:val="center"/>
          </w:tcPr>
          <w:p w14:paraId="54D8F5F8">
            <w:pPr>
              <w:jc w:val="left"/>
            </w:pPr>
            <w:r>
              <w:rPr>
                <w:rFonts w:ascii="Arial" w:hAnsi="Arial" w:eastAsia="Arial" w:cs="Arial"/>
                <w:b/>
                <w:bCs/>
                <w:color w:val="FFFFFF"/>
                <w:sz w:val="18"/>
                <w:szCs w:val="18"/>
              </w:rPr>
              <w:t>Input</w:t>
            </w:r>
          </w:p>
        </w:tc>
        <w:tc>
          <w:tcPr>
            <w:tcW w:w="2340" w:type="dxa"/>
            <w:tcBorders>
              <w:top w:val="single" w:color="D0D0D0" w:sz="4" w:space="0"/>
              <w:left w:val="single" w:color="D0D0D0" w:sz="4" w:space="0"/>
              <w:bottom w:val="single" w:color="D0D0D0" w:sz="4" w:space="0"/>
              <w:right w:val="single" w:color="D0D0D0" w:sz="4" w:space="0"/>
            </w:tcBorders>
            <w:shd w:val="clear" w:color="auto" w:fill="2E75B6"/>
            <w:tcMar>
              <w:top w:w="80" w:type="dxa"/>
              <w:left w:w="120" w:type="dxa"/>
              <w:bottom w:w="80" w:type="dxa"/>
              <w:right w:w="120" w:type="dxa"/>
            </w:tcMar>
            <w:vAlign w:val="center"/>
          </w:tcPr>
          <w:p w14:paraId="6CCA2AF1">
            <w:pPr>
              <w:jc w:val="left"/>
            </w:pPr>
            <w:r>
              <w:rPr>
                <w:rFonts w:ascii="Arial" w:hAnsi="Arial" w:eastAsia="Arial" w:cs="Arial"/>
                <w:b/>
                <w:bCs/>
                <w:color w:val="FFFFFF"/>
                <w:sz w:val="18"/>
                <w:szCs w:val="18"/>
              </w:rPr>
              <w:t>Widget Type</w:t>
            </w:r>
          </w:p>
        </w:tc>
        <w:tc>
          <w:tcPr>
            <w:tcW w:w="4680" w:type="dxa"/>
            <w:tcBorders>
              <w:top w:val="single" w:color="D0D0D0" w:sz="4" w:space="0"/>
              <w:left w:val="single" w:color="D0D0D0" w:sz="4" w:space="0"/>
              <w:bottom w:val="single" w:color="D0D0D0" w:sz="4" w:space="0"/>
              <w:right w:val="single" w:color="D0D0D0" w:sz="4" w:space="0"/>
            </w:tcBorders>
            <w:shd w:val="clear" w:color="auto" w:fill="2E75B6"/>
            <w:tcMar>
              <w:top w:w="80" w:type="dxa"/>
              <w:left w:w="120" w:type="dxa"/>
              <w:bottom w:w="80" w:type="dxa"/>
              <w:right w:w="120" w:type="dxa"/>
            </w:tcMar>
            <w:vAlign w:val="center"/>
          </w:tcPr>
          <w:p w14:paraId="535993B9">
            <w:pPr>
              <w:jc w:val="left"/>
            </w:pPr>
            <w:r>
              <w:rPr>
                <w:rFonts w:ascii="Arial" w:hAnsi="Arial" w:eastAsia="Arial" w:cs="Arial"/>
                <w:b/>
                <w:bCs/>
                <w:color w:val="FFFFFF"/>
                <w:sz w:val="18"/>
                <w:szCs w:val="18"/>
              </w:rPr>
              <w:t>Options / Range</w:t>
            </w:r>
          </w:p>
        </w:tc>
      </w:tr>
      <w:tr w14:paraId="237D4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7610EE9C">
            <w:pPr>
              <w:jc w:val="left"/>
            </w:pPr>
            <w:r>
              <w:rPr>
                <w:rFonts w:ascii="Arial" w:hAnsi="Arial" w:eastAsia="Arial" w:cs="Arial"/>
                <w:b w:val="0"/>
                <w:bCs w:val="0"/>
                <w:color w:val="404040"/>
                <w:sz w:val="18"/>
                <w:szCs w:val="18"/>
              </w:rPr>
              <w:t>Industry</w:t>
            </w:r>
          </w:p>
        </w:tc>
        <w:tc>
          <w:tcPr>
            <w:tcW w:w="234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6704127F">
            <w:pPr>
              <w:jc w:val="left"/>
            </w:pPr>
            <w:r>
              <w:rPr>
                <w:rFonts w:ascii="Arial" w:hAnsi="Arial" w:eastAsia="Arial" w:cs="Arial"/>
                <w:b w:val="0"/>
                <w:bCs w:val="0"/>
                <w:color w:val="404040"/>
                <w:sz w:val="18"/>
                <w:szCs w:val="18"/>
              </w:rPr>
              <w:t>Dropdown</w:t>
            </w:r>
          </w:p>
        </w:tc>
        <w:tc>
          <w:tcPr>
            <w:tcW w:w="468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04D99A10">
            <w:pPr>
              <w:jc w:val="left"/>
            </w:pPr>
            <w:r>
              <w:rPr>
                <w:rFonts w:ascii="Arial" w:hAnsi="Arial" w:eastAsia="Arial" w:cs="Arial"/>
                <w:b w:val="0"/>
                <w:bCs w:val="0"/>
                <w:color w:val="404040"/>
                <w:sz w:val="18"/>
                <w:szCs w:val="18"/>
              </w:rPr>
              <w:t>Casualty, Health, Life, Pension</w:t>
            </w:r>
          </w:p>
        </w:tc>
      </w:tr>
      <w:tr w14:paraId="33F6C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4D8E69A5">
            <w:pPr>
              <w:jc w:val="left"/>
            </w:pPr>
            <w:r>
              <w:rPr>
                <w:rFonts w:ascii="Arial" w:hAnsi="Arial" w:eastAsia="Arial" w:cs="Arial"/>
                <w:b w:val="0"/>
                <w:bCs w:val="0"/>
                <w:color w:val="404040"/>
                <w:sz w:val="18"/>
                <w:szCs w:val="18"/>
              </w:rPr>
              <w:t>Exams Passed</w:t>
            </w:r>
          </w:p>
        </w:tc>
        <w:tc>
          <w:tcPr>
            <w:tcW w:w="234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7A55BADF">
            <w:pPr>
              <w:jc w:val="left"/>
            </w:pPr>
            <w:r>
              <w:rPr>
                <w:rFonts w:ascii="Arial" w:hAnsi="Arial" w:eastAsia="Arial" w:cs="Arial"/>
                <w:b w:val="0"/>
                <w:bCs w:val="0"/>
                <w:color w:val="404040"/>
                <w:sz w:val="18"/>
                <w:szCs w:val="18"/>
              </w:rPr>
              <w:t>Dropdown</w:t>
            </w:r>
          </w:p>
        </w:tc>
        <w:tc>
          <w:tcPr>
            <w:tcW w:w="468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3FBC74A8">
            <w:pPr>
              <w:jc w:val="left"/>
            </w:pPr>
            <w:r>
              <w:rPr>
                <w:rFonts w:ascii="Arial" w:hAnsi="Arial" w:eastAsia="Arial" w:cs="Arial"/>
                <w:b w:val="0"/>
                <w:bCs w:val="0"/>
                <w:color w:val="404040"/>
                <w:sz w:val="18"/>
                <w:szCs w:val="18"/>
              </w:rPr>
              <w:t>1 Exam through 10 Exams (16 credential levels)</w:t>
            </w:r>
          </w:p>
        </w:tc>
      </w:tr>
      <w:tr w14:paraId="54F3A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2AB8CDD0">
            <w:pPr>
              <w:jc w:val="left"/>
            </w:pPr>
            <w:r>
              <w:rPr>
                <w:rFonts w:ascii="Arial" w:hAnsi="Arial" w:eastAsia="Arial" w:cs="Arial"/>
                <w:b w:val="0"/>
                <w:bCs w:val="0"/>
                <w:color w:val="404040"/>
                <w:sz w:val="18"/>
                <w:szCs w:val="18"/>
              </w:rPr>
              <w:t>Experience</w:t>
            </w:r>
          </w:p>
        </w:tc>
        <w:tc>
          <w:tcPr>
            <w:tcW w:w="234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73BDB717">
            <w:pPr>
              <w:jc w:val="left"/>
            </w:pPr>
            <w:r>
              <w:rPr>
                <w:rFonts w:ascii="Arial" w:hAnsi="Arial" w:eastAsia="Arial" w:cs="Arial"/>
                <w:b w:val="0"/>
                <w:bCs w:val="0"/>
                <w:color w:val="404040"/>
                <w:sz w:val="18"/>
                <w:szCs w:val="18"/>
              </w:rPr>
              <w:t>Integer Slider</w:t>
            </w:r>
          </w:p>
        </w:tc>
        <w:tc>
          <w:tcPr>
            <w:tcW w:w="468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5992B4AA">
            <w:pPr>
              <w:jc w:val="left"/>
            </w:pPr>
            <w:r>
              <w:rPr>
                <w:rFonts w:ascii="Arial" w:hAnsi="Arial" w:eastAsia="Arial" w:cs="Arial"/>
                <w:b w:val="0"/>
                <w:bCs w:val="0"/>
                <w:color w:val="404040"/>
                <w:sz w:val="18"/>
                <w:szCs w:val="18"/>
              </w:rPr>
              <w:t>1 – 20 years</w:t>
            </w:r>
          </w:p>
        </w:tc>
      </w:tr>
      <w:tr w14:paraId="387FC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056ED8D5">
            <w:pPr>
              <w:jc w:val="left"/>
            </w:pPr>
            <w:r>
              <w:rPr>
                <w:rFonts w:ascii="Arial" w:hAnsi="Arial" w:eastAsia="Arial" w:cs="Arial"/>
                <w:b w:val="0"/>
                <w:bCs w:val="0"/>
                <w:color w:val="404040"/>
                <w:sz w:val="18"/>
                <w:szCs w:val="18"/>
              </w:rPr>
              <w:t>Salary Low</w:t>
            </w:r>
          </w:p>
        </w:tc>
        <w:tc>
          <w:tcPr>
            <w:tcW w:w="234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4C1B9E0E">
            <w:pPr>
              <w:jc w:val="left"/>
            </w:pPr>
            <w:r>
              <w:rPr>
                <w:rFonts w:ascii="Arial" w:hAnsi="Arial" w:eastAsia="Arial" w:cs="Arial"/>
                <w:b w:val="0"/>
                <w:bCs w:val="0"/>
                <w:color w:val="404040"/>
                <w:sz w:val="18"/>
                <w:szCs w:val="18"/>
              </w:rPr>
              <w:t>Integer Slider</w:t>
            </w:r>
          </w:p>
        </w:tc>
        <w:tc>
          <w:tcPr>
            <w:tcW w:w="468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2F0A4238">
            <w:pPr>
              <w:jc w:val="left"/>
            </w:pPr>
            <w:r>
              <w:rPr>
                <w:rFonts w:ascii="Arial" w:hAnsi="Arial" w:eastAsia="Arial" w:cs="Arial"/>
                <w:b w:val="0"/>
                <w:bCs w:val="0"/>
                <w:color w:val="404040"/>
                <w:sz w:val="18"/>
                <w:szCs w:val="18"/>
              </w:rPr>
              <w:t>Range derived from training data minimum/maximum</w:t>
            </w:r>
          </w:p>
        </w:tc>
      </w:tr>
      <w:tr w14:paraId="7DCD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7723170C">
            <w:pPr>
              <w:jc w:val="left"/>
            </w:pPr>
            <w:r>
              <w:rPr>
                <w:rFonts w:ascii="Arial" w:hAnsi="Arial" w:eastAsia="Arial" w:cs="Arial"/>
                <w:b w:val="0"/>
                <w:bCs w:val="0"/>
                <w:color w:val="404040"/>
                <w:sz w:val="18"/>
                <w:szCs w:val="18"/>
              </w:rPr>
              <w:t>Salary High</w:t>
            </w:r>
          </w:p>
        </w:tc>
        <w:tc>
          <w:tcPr>
            <w:tcW w:w="234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373D7718">
            <w:pPr>
              <w:jc w:val="left"/>
            </w:pPr>
            <w:r>
              <w:rPr>
                <w:rFonts w:ascii="Arial" w:hAnsi="Arial" w:eastAsia="Arial" w:cs="Arial"/>
                <w:b w:val="0"/>
                <w:bCs w:val="0"/>
                <w:color w:val="404040"/>
                <w:sz w:val="18"/>
                <w:szCs w:val="18"/>
              </w:rPr>
              <w:t>Integer Slider</w:t>
            </w:r>
          </w:p>
        </w:tc>
        <w:tc>
          <w:tcPr>
            <w:tcW w:w="468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04A762F9">
            <w:pPr>
              <w:jc w:val="left"/>
            </w:pPr>
            <w:r>
              <w:rPr>
                <w:rFonts w:ascii="Arial" w:hAnsi="Arial" w:eastAsia="Arial" w:cs="Arial"/>
                <w:b w:val="0"/>
                <w:bCs w:val="0"/>
                <w:color w:val="404040"/>
                <w:sz w:val="18"/>
                <w:szCs w:val="18"/>
              </w:rPr>
              <w:t>Range derived from training data minimum/maximum</w:t>
            </w:r>
          </w:p>
        </w:tc>
      </w:tr>
    </w:tbl>
    <w:p w14:paraId="745B99F8">
      <w:pPr>
        <w:spacing w:before="80" w:after="0"/>
      </w:pPr>
    </w:p>
    <w:p w14:paraId="4B7FC625">
      <w:pPr>
        <w:spacing w:before="60" w:after="60"/>
        <w:jc w:val="left"/>
      </w:pPr>
      <w:r>
        <w:rPr>
          <w:rFonts w:ascii="Arial" w:hAnsi="Arial" w:eastAsia="Arial" w:cs="Arial"/>
          <w:b w:val="0"/>
          <w:bCs w:val="0"/>
          <w:color w:val="404040"/>
          <w:sz w:val="20"/>
          <w:szCs w:val="20"/>
        </w:rPr>
        <w:t>The widget calls the make_prediction() function, which packages user inputs into a single-row DataFrame and passes it through the serialised pipeline, returning a formatted salary estimate rounded to two decimal places. A representative example output is shown below:</w:t>
      </w:r>
    </w:p>
    <w:p w14:paraId="683259E8">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D51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4" w:space="0"/>
              <w:left w:val="single" w:color="AAAAAA" w:sz="4" w:space="0"/>
              <w:bottom w:val="single" w:color="AAAAAA" w:sz="4" w:space="0"/>
              <w:right w:val="single" w:color="AAAAAA" w:sz="4" w:space="0"/>
            </w:tcBorders>
            <w:shd w:val="clear" w:color="auto" w:fill="F4F4F4"/>
            <w:tcMar>
              <w:top w:w="120" w:type="dxa"/>
              <w:left w:w="240" w:type="dxa"/>
              <w:bottom w:w="120" w:type="dxa"/>
              <w:right w:w="240" w:type="dxa"/>
            </w:tcMar>
          </w:tcPr>
          <w:p w14:paraId="69EFFE10">
            <w:r>
              <w:rPr>
                <w:rFonts w:ascii="Courier New" w:hAnsi="Courier New" w:eastAsia="Courier New" w:cs="Courier New"/>
                <w:color w:val="333333"/>
                <w:sz w:val="18"/>
                <w:szCs w:val="18"/>
              </w:rPr>
              <w:t>make_prediction(industry='Pension', exams='4 Exams', experience=17,</w:t>
            </w:r>
          </w:p>
          <w:p w14:paraId="50768D16">
            <w:r>
              <w:rPr>
                <w:rFonts w:ascii="Courier New" w:hAnsi="Courier New" w:eastAsia="Courier New" w:cs="Courier New"/>
                <w:color w:val="333333"/>
                <w:sz w:val="18"/>
                <w:szCs w:val="18"/>
              </w:rPr>
              <w:t xml:space="preserve">                salary_low=26, salary_high=86)</w:t>
            </w:r>
          </w:p>
          <w:p w14:paraId="6EE5A167">
            <w:r>
              <w:rPr>
                <w:rFonts w:ascii="Courier New" w:hAnsi="Courier New" w:eastAsia="Courier New" w:cs="Courier New"/>
                <w:b/>
                <w:bCs/>
                <w:color w:val="2E75B6"/>
                <w:sz w:val="18"/>
                <w:szCs w:val="18"/>
              </w:rPr>
              <w:t>&gt;&gt;&gt; 'Predicted salary_mid: 56.0'</w:t>
            </w:r>
          </w:p>
        </w:tc>
      </w:tr>
    </w:tbl>
    <w:p w14:paraId="18E79ABD">
      <w:pPr>
        <w:spacing w:before="80" w:after="0"/>
      </w:pPr>
    </w:p>
    <w:p w14:paraId="221C116A">
      <w:pPr>
        <w:pStyle w:val="2"/>
        <w:spacing w:before="300" w:after="80"/>
      </w:pPr>
      <w:r>
        <w:rPr>
          <w:rFonts w:ascii="Arial" w:hAnsi="Arial" w:eastAsia="Arial" w:cs="Arial"/>
          <w:b/>
          <w:bCs/>
          <w:color w:val="1F3864"/>
          <w:sz w:val="36"/>
          <w:szCs w:val="36"/>
        </w:rPr>
        <w:t>8. Key Findings &amp; Insights</w:t>
      </w:r>
    </w:p>
    <w:p w14:paraId="458DECA8">
      <w:pPr>
        <w:pBdr>
          <w:bottom w:val="single" w:color="2E75B6" w:sz="8" w:space="1"/>
        </w:pBdr>
        <w:spacing w:before="60" w:after="60"/>
      </w:pPr>
    </w:p>
    <w:p w14:paraId="6577BC73">
      <w:pPr>
        <w:pStyle w:val="14"/>
        <w:numPr>
          <w:ilvl w:val="0"/>
          <w:numId w:val="1"/>
        </w:numPr>
        <w:spacing w:before="40" w:after="40"/>
      </w:pPr>
      <w:r>
        <w:rPr>
          <w:rFonts w:ascii="Arial" w:hAnsi="Arial" w:eastAsia="Arial" w:cs="Arial"/>
          <w:color w:val="404040"/>
          <w:sz w:val="20"/>
          <w:szCs w:val="20"/>
        </w:rPr>
        <w:t>Salary grows monotonically with actuarial exam credentials across all four industry sectors, confirming the premium placed on professional qualification in the actuarial labour market.</w:t>
      </w:r>
    </w:p>
    <w:p w14:paraId="4186FB0A">
      <w:pPr>
        <w:pStyle w:val="14"/>
        <w:numPr>
          <w:ilvl w:val="0"/>
          <w:numId w:val="1"/>
        </w:numPr>
        <w:spacing w:before="40" w:after="40"/>
      </w:pPr>
      <w:r>
        <w:rPr>
          <w:rFonts w:ascii="Arial" w:hAnsi="Arial" w:eastAsia="Arial" w:cs="Arial"/>
          <w:color w:val="404040"/>
          <w:sz w:val="20"/>
          <w:szCs w:val="20"/>
        </w:rPr>
        <w:t>The Pension sector exhibited the widest salary range, while the Health sector showed the most compressed distribution — suggesting Pension roles command higher pay variability based on seniority and specialism.</w:t>
      </w:r>
    </w:p>
    <w:p w14:paraId="10080AA1">
      <w:pPr>
        <w:pStyle w:val="14"/>
        <w:numPr>
          <w:ilvl w:val="0"/>
          <w:numId w:val="1"/>
        </w:numPr>
        <w:spacing w:before="40" w:after="40"/>
      </w:pPr>
      <w:r>
        <w:rPr>
          <w:rFonts w:ascii="Arial" w:hAnsi="Arial" w:eastAsia="Arial" w:cs="Arial"/>
          <w:color w:val="404040"/>
          <w:sz w:val="20"/>
          <w:szCs w:val="20"/>
        </w:rPr>
        <w:t>Years of experience has a consistent positive impact on salary_mid, with the steepest gains occurring in the first ten years before plateauing.</w:t>
      </w:r>
    </w:p>
    <w:p w14:paraId="56B5135F">
      <w:pPr>
        <w:pStyle w:val="14"/>
        <w:numPr>
          <w:ilvl w:val="0"/>
          <w:numId w:val="1"/>
        </w:numPr>
        <w:spacing w:before="40" w:after="40"/>
      </w:pPr>
      <w:r>
        <w:rPr>
          <w:rFonts w:ascii="Arial" w:hAnsi="Arial" w:eastAsia="Arial" w:cs="Arial"/>
          <w:color w:val="404040"/>
          <w:sz w:val="20"/>
          <w:szCs w:val="20"/>
        </w:rPr>
        <w:t>The near-deterministic relationship between salary_low, salary_mid, and salary_high is structurally inherent to the dataset. This simplifies the prediction task considerably but underscores the need for a robustness-testing exercise using features-only models.</w:t>
      </w:r>
    </w:p>
    <w:p w14:paraId="4AF17822">
      <w:pPr>
        <w:pStyle w:val="14"/>
        <w:numPr>
          <w:ilvl w:val="0"/>
          <w:numId w:val="1"/>
        </w:numPr>
        <w:spacing w:before="40" w:after="40"/>
      </w:pPr>
      <w:r>
        <w:rPr>
          <w:rFonts w:ascii="Arial" w:hAnsi="Arial" w:eastAsia="Arial" w:cs="Arial"/>
          <w:color w:val="404040"/>
          <w:sz w:val="20"/>
          <w:szCs w:val="20"/>
        </w:rPr>
        <w:t>The Linear Regression model outperformed all regularised and ensemble alternatives, reinforcing that the underlying data-generating process is well-described by a linear function.</w:t>
      </w:r>
    </w:p>
    <w:p w14:paraId="3BFDB597">
      <w:pPr>
        <w:spacing w:before="80" w:after="0"/>
      </w:pPr>
    </w:p>
    <w:p w14:paraId="6DD13128">
      <w:pPr>
        <w:pStyle w:val="2"/>
        <w:spacing w:before="300" w:after="80"/>
      </w:pPr>
      <w:r>
        <w:rPr>
          <w:rFonts w:ascii="Arial" w:hAnsi="Arial" w:eastAsia="Arial" w:cs="Arial"/>
          <w:b/>
          <w:bCs/>
          <w:color w:val="1F3864"/>
          <w:sz w:val="36"/>
          <w:szCs w:val="36"/>
        </w:rPr>
        <w:t>9. Limitations &amp; Risks</w:t>
      </w:r>
    </w:p>
    <w:p w14:paraId="41C1F7AA">
      <w:pPr>
        <w:pBdr>
          <w:bottom w:val="single" w:color="2E75B6" w:sz="8" w:space="1"/>
        </w:pBdr>
        <w:spacing w:before="60" w:after="60"/>
      </w:pPr>
    </w:p>
    <w:p w14:paraId="1D69A100">
      <w:pPr>
        <w:pStyle w:val="14"/>
        <w:numPr>
          <w:ilvl w:val="0"/>
          <w:numId w:val="1"/>
        </w:numPr>
        <w:spacing w:before="40" w:after="40"/>
      </w:pPr>
      <w:r>
        <w:rPr>
          <w:rFonts w:ascii="Arial" w:hAnsi="Arial" w:eastAsia="Arial" w:cs="Arial"/>
          <w:color w:val="404040"/>
          <w:sz w:val="20"/>
          <w:szCs w:val="20"/>
        </w:rPr>
        <w:t>Small sample size: With only 138 records, the model may not generalise to salary survey data from different years or geographic regions without retraining.</w:t>
      </w:r>
    </w:p>
    <w:p w14:paraId="02BE1D87">
      <w:pPr>
        <w:pStyle w:val="14"/>
        <w:numPr>
          <w:ilvl w:val="0"/>
          <w:numId w:val="1"/>
        </w:numPr>
        <w:spacing w:before="40" w:after="40"/>
      </w:pPr>
      <w:r>
        <w:rPr>
          <w:rFonts w:ascii="Arial" w:hAnsi="Arial" w:eastAsia="Arial" w:cs="Arial"/>
          <w:color w:val="404040"/>
          <w:sz w:val="20"/>
          <w:szCs w:val="20"/>
        </w:rPr>
        <w:t>Feature dependency: The inclusion of salary_low and salary_high as predictors means the model requires access to partial salary band information — an assumption that may not hold in all real-world scenarios.</w:t>
      </w:r>
    </w:p>
    <w:p w14:paraId="68035639">
      <w:pPr>
        <w:pStyle w:val="14"/>
        <w:numPr>
          <w:ilvl w:val="0"/>
          <w:numId w:val="1"/>
        </w:numPr>
        <w:spacing w:before="40" w:after="40"/>
      </w:pPr>
      <w:r>
        <w:rPr>
          <w:rFonts w:ascii="Arial" w:hAnsi="Arial" w:eastAsia="Arial" w:cs="Arial"/>
          <w:color w:val="404040"/>
          <w:sz w:val="20"/>
          <w:szCs w:val="20"/>
        </w:rPr>
        <w:t>Temporal drift: Actuarial salaries evolve with market conditions. The model should be retrained periodically as new survey data becomes available.</w:t>
      </w:r>
    </w:p>
    <w:p w14:paraId="74A26891">
      <w:pPr>
        <w:pStyle w:val="14"/>
        <w:numPr>
          <w:ilvl w:val="0"/>
          <w:numId w:val="1"/>
        </w:numPr>
        <w:spacing w:before="40" w:after="40"/>
      </w:pPr>
      <w:r>
        <w:rPr>
          <w:rFonts w:ascii="Arial" w:hAnsi="Arial" w:eastAsia="Arial" w:cs="Arial"/>
          <w:color w:val="404040"/>
          <w:sz w:val="20"/>
          <w:szCs w:val="20"/>
        </w:rPr>
        <w:t>Limited feature scope: Variables such as geographic location, employer type (insurer vs. consulting firm), educational background, and Fellowship status were not available in the dataset.</w:t>
      </w:r>
    </w:p>
    <w:p w14:paraId="2CF4D0CC">
      <w:pPr>
        <w:pStyle w:val="14"/>
        <w:numPr>
          <w:ilvl w:val="0"/>
          <w:numId w:val="1"/>
        </w:numPr>
        <w:spacing w:before="40" w:after="40"/>
      </w:pPr>
      <w:r>
        <w:rPr>
          <w:rFonts w:ascii="Arial" w:hAnsi="Arial" w:eastAsia="Arial" w:cs="Arial"/>
          <w:color w:val="404040"/>
          <w:sz w:val="20"/>
          <w:szCs w:val="20"/>
        </w:rPr>
        <w:t>Single target: The current model predicts salary_mid only; a multi-output variant targeting salary_low and salary_high simultaneously could be more informative.</w:t>
      </w:r>
    </w:p>
    <w:p w14:paraId="1ECC71D7">
      <w:pPr>
        <w:spacing w:before="80" w:after="0"/>
      </w:pPr>
    </w:p>
    <w:p w14:paraId="209E64A4">
      <w:pPr>
        <w:pStyle w:val="2"/>
        <w:spacing w:before="300" w:after="80"/>
      </w:pPr>
      <w:r>
        <w:rPr>
          <w:rFonts w:ascii="Arial" w:hAnsi="Arial" w:eastAsia="Arial" w:cs="Arial"/>
          <w:b/>
          <w:bCs/>
          <w:color w:val="1F3864"/>
          <w:sz w:val="36"/>
          <w:szCs w:val="36"/>
        </w:rPr>
        <w:t>1</w:t>
      </w:r>
      <w:r>
        <w:rPr>
          <w:rFonts w:hint="default" w:cs="Arial"/>
          <w:b/>
          <w:bCs/>
          <w:color w:val="1F3864"/>
          <w:sz w:val="36"/>
          <w:szCs w:val="36"/>
          <w:lang/>
        </w:rPr>
        <w:t>0</w:t>
      </w:r>
      <w:r>
        <w:rPr>
          <w:rFonts w:ascii="Arial" w:hAnsi="Arial" w:eastAsia="Arial" w:cs="Arial"/>
          <w:b/>
          <w:bCs/>
          <w:color w:val="1F3864"/>
          <w:sz w:val="36"/>
          <w:szCs w:val="36"/>
        </w:rPr>
        <w:t>. Technical Stack</w:t>
      </w:r>
    </w:p>
    <w:p w14:paraId="59F1400A">
      <w:pPr>
        <w:pBdr>
          <w:bottom w:val="single" w:color="2E75B6" w:sz="8" w:space="1"/>
        </w:pBd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194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0D0D0" w:sz="4" w:space="0"/>
              <w:left w:val="single" w:color="D0D0D0" w:sz="4" w:space="0"/>
              <w:bottom w:val="single" w:color="D0D0D0" w:sz="4" w:space="0"/>
              <w:right w:val="single" w:color="D0D0D0" w:sz="4" w:space="0"/>
            </w:tcBorders>
            <w:shd w:val="clear" w:color="auto" w:fill="2E75B6"/>
            <w:tcMar>
              <w:top w:w="80" w:type="dxa"/>
              <w:left w:w="120" w:type="dxa"/>
              <w:bottom w:w="80" w:type="dxa"/>
              <w:right w:w="120" w:type="dxa"/>
            </w:tcMar>
            <w:vAlign w:val="center"/>
          </w:tcPr>
          <w:p w14:paraId="24F51257">
            <w:pPr>
              <w:jc w:val="left"/>
            </w:pPr>
            <w:r>
              <w:rPr>
                <w:rFonts w:ascii="Arial" w:hAnsi="Arial" w:eastAsia="Arial" w:cs="Arial"/>
                <w:b/>
                <w:bCs/>
                <w:color w:val="FFFFFF"/>
                <w:sz w:val="18"/>
                <w:szCs w:val="18"/>
              </w:rPr>
              <w:t>Component</w:t>
            </w:r>
          </w:p>
        </w:tc>
        <w:tc>
          <w:tcPr>
            <w:tcW w:w="6240" w:type="dxa"/>
            <w:tcBorders>
              <w:top w:val="single" w:color="D0D0D0" w:sz="4" w:space="0"/>
              <w:left w:val="single" w:color="D0D0D0" w:sz="4" w:space="0"/>
              <w:bottom w:val="single" w:color="D0D0D0" w:sz="4" w:space="0"/>
              <w:right w:val="single" w:color="D0D0D0" w:sz="4" w:space="0"/>
            </w:tcBorders>
            <w:shd w:val="clear" w:color="auto" w:fill="2E75B6"/>
            <w:tcMar>
              <w:top w:w="80" w:type="dxa"/>
              <w:left w:w="120" w:type="dxa"/>
              <w:bottom w:w="80" w:type="dxa"/>
              <w:right w:w="120" w:type="dxa"/>
            </w:tcMar>
            <w:vAlign w:val="center"/>
          </w:tcPr>
          <w:p w14:paraId="780F95E2">
            <w:pPr>
              <w:jc w:val="left"/>
            </w:pPr>
            <w:r>
              <w:rPr>
                <w:rFonts w:ascii="Arial" w:hAnsi="Arial" w:eastAsia="Arial" w:cs="Arial"/>
                <w:b/>
                <w:bCs/>
                <w:color w:val="FFFFFF"/>
                <w:sz w:val="18"/>
                <w:szCs w:val="18"/>
              </w:rPr>
              <w:t>Library / Tool</w:t>
            </w:r>
          </w:p>
        </w:tc>
      </w:tr>
      <w:tr w14:paraId="17B92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6BECF090">
            <w:pPr>
              <w:jc w:val="left"/>
            </w:pPr>
            <w:r>
              <w:rPr>
                <w:rFonts w:ascii="Arial" w:hAnsi="Arial" w:eastAsia="Arial" w:cs="Arial"/>
                <w:b w:val="0"/>
                <w:bCs w:val="0"/>
                <w:color w:val="404040"/>
                <w:sz w:val="18"/>
                <w:szCs w:val="18"/>
              </w:rPr>
              <w:t>Data Manipulation</w:t>
            </w:r>
          </w:p>
        </w:tc>
        <w:tc>
          <w:tcPr>
            <w:tcW w:w="624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0FF236A0">
            <w:pPr>
              <w:jc w:val="left"/>
            </w:pPr>
            <w:r>
              <w:rPr>
                <w:rFonts w:ascii="Arial" w:hAnsi="Arial" w:eastAsia="Arial" w:cs="Arial"/>
                <w:b w:val="0"/>
                <w:bCs w:val="0"/>
                <w:color w:val="404040"/>
                <w:sz w:val="18"/>
                <w:szCs w:val="18"/>
              </w:rPr>
              <w:t>pandas, numpy</w:t>
            </w:r>
          </w:p>
        </w:tc>
      </w:tr>
      <w:tr w14:paraId="3219E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51E7B07F">
            <w:pPr>
              <w:jc w:val="left"/>
            </w:pPr>
            <w:r>
              <w:rPr>
                <w:rFonts w:ascii="Arial" w:hAnsi="Arial" w:eastAsia="Arial" w:cs="Arial"/>
                <w:b w:val="0"/>
                <w:bCs w:val="0"/>
                <w:color w:val="404040"/>
                <w:sz w:val="18"/>
                <w:szCs w:val="18"/>
              </w:rPr>
              <w:t>Data Visualisation</w:t>
            </w:r>
          </w:p>
        </w:tc>
        <w:tc>
          <w:tcPr>
            <w:tcW w:w="624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64AA2CBA">
            <w:pPr>
              <w:jc w:val="left"/>
            </w:pPr>
            <w:r>
              <w:rPr>
                <w:rFonts w:ascii="Arial" w:hAnsi="Arial" w:eastAsia="Arial" w:cs="Arial"/>
                <w:b w:val="0"/>
                <w:bCs w:val="0"/>
                <w:color w:val="404040"/>
                <w:sz w:val="18"/>
                <w:szCs w:val="18"/>
              </w:rPr>
              <w:t>seaborn, matplotlib, plotly.express</w:t>
            </w:r>
          </w:p>
        </w:tc>
      </w:tr>
      <w:tr w14:paraId="249EA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0A20B147">
            <w:pPr>
              <w:jc w:val="left"/>
            </w:pPr>
            <w:r>
              <w:rPr>
                <w:rFonts w:ascii="Arial" w:hAnsi="Arial" w:eastAsia="Arial" w:cs="Arial"/>
                <w:b w:val="0"/>
                <w:bCs w:val="0"/>
                <w:color w:val="404040"/>
                <w:sz w:val="18"/>
                <w:szCs w:val="18"/>
              </w:rPr>
              <w:t>Modelling</w:t>
            </w:r>
          </w:p>
        </w:tc>
        <w:tc>
          <w:tcPr>
            <w:tcW w:w="624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37140B35">
            <w:pPr>
              <w:jc w:val="left"/>
            </w:pPr>
            <w:r>
              <w:rPr>
                <w:rFonts w:ascii="Arial" w:hAnsi="Arial" w:eastAsia="Arial" w:cs="Arial"/>
                <w:b w:val="0"/>
                <w:bCs w:val="0"/>
                <w:color w:val="404040"/>
                <w:sz w:val="18"/>
                <w:szCs w:val="18"/>
              </w:rPr>
              <w:t>scikit-learn (LinearRegression, Ridge, Lasso, RandomForestRegressor)</w:t>
            </w:r>
          </w:p>
        </w:tc>
      </w:tr>
      <w:tr w14:paraId="0072B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443B447D">
            <w:pPr>
              <w:jc w:val="left"/>
            </w:pPr>
            <w:r>
              <w:rPr>
                <w:rFonts w:ascii="Arial" w:hAnsi="Arial" w:eastAsia="Arial" w:cs="Arial"/>
                <w:b w:val="0"/>
                <w:bCs w:val="0"/>
                <w:color w:val="404040"/>
                <w:sz w:val="18"/>
                <w:szCs w:val="18"/>
              </w:rPr>
              <w:t>Preprocessing</w:t>
            </w:r>
          </w:p>
        </w:tc>
        <w:tc>
          <w:tcPr>
            <w:tcW w:w="624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3D0E1FC1">
            <w:pPr>
              <w:jc w:val="left"/>
            </w:pPr>
            <w:r>
              <w:rPr>
                <w:rFonts w:ascii="Arial" w:hAnsi="Arial" w:eastAsia="Arial" w:cs="Arial"/>
                <w:b w:val="0"/>
                <w:bCs w:val="0"/>
                <w:color w:val="404040"/>
                <w:sz w:val="18"/>
                <w:szCs w:val="18"/>
              </w:rPr>
              <w:t>sklearn Pipeline, ColumnTransformer, SimpleImputer, category_encoders OneHotEncoder</w:t>
            </w:r>
          </w:p>
        </w:tc>
      </w:tr>
      <w:tr w14:paraId="1D071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2CA67B49">
            <w:pPr>
              <w:jc w:val="left"/>
            </w:pPr>
            <w:r>
              <w:rPr>
                <w:rFonts w:ascii="Arial" w:hAnsi="Arial" w:eastAsia="Arial" w:cs="Arial"/>
                <w:b w:val="0"/>
                <w:bCs w:val="0"/>
                <w:color w:val="404040"/>
                <w:sz w:val="18"/>
                <w:szCs w:val="18"/>
              </w:rPr>
              <w:t>Interactive Widget</w:t>
            </w:r>
          </w:p>
        </w:tc>
        <w:tc>
          <w:tcPr>
            <w:tcW w:w="624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572461AE">
            <w:pPr>
              <w:jc w:val="left"/>
            </w:pPr>
            <w:r>
              <w:rPr>
                <w:rFonts w:ascii="Arial" w:hAnsi="Arial" w:eastAsia="Arial" w:cs="Arial"/>
                <w:b w:val="0"/>
                <w:bCs w:val="0"/>
                <w:color w:val="404040"/>
                <w:sz w:val="18"/>
                <w:szCs w:val="18"/>
              </w:rPr>
              <w:t>ipywidgets (Dropdown, IntSlider, interact)</w:t>
            </w:r>
          </w:p>
        </w:tc>
      </w:tr>
      <w:tr w14:paraId="48C38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67FF4FBC">
            <w:pPr>
              <w:jc w:val="left"/>
            </w:pPr>
            <w:r>
              <w:rPr>
                <w:rFonts w:ascii="Arial" w:hAnsi="Arial" w:eastAsia="Arial" w:cs="Arial"/>
                <w:b w:val="0"/>
                <w:bCs w:val="0"/>
                <w:color w:val="404040"/>
                <w:sz w:val="18"/>
                <w:szCs w:val="18"/>
              </w:rPr>
              <w:t>Model Persistence</w:t>
            </w:r>
          </w:p>
        </w:tc>
        <w:tc>
          <w:tcPr>
            <w:tcW w:w="624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583D179F">
            <w:pPr>
              <w:jc w:val="left"/>
            </w:pPr>
            <w:r>
              <w:rPr>
                <w:rFonts w:ascii="Arial" w:hAnsi="Arial" w:eastAsia="Arial" w:cs="Arial"/>
                <w:b w:val="0"/>
                <w:bCs w:val="0"/>
                <w:color w:val="404040"/>
                <w:sz w:val="18"/>
                <w:szCs w:val="18"/>
              </w:rPr>
              <w:t>joblib</w:t>
            </w:r>
          </w:p>
        </w:tc>
      </w:tr>
      <w:tr w14:paraId="27013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74228799">
            <w:pPr>
              <w:jc w:val="left"/>
            </w:pPr>
            <w:r>
              <w:rPr>
                <w:rFonts w:ascii="Arial" w:hAnsi="Arial" w:eastAsia="Arial" w:cs="Arial"/>
                <w:b w:val="0"/>
                <w:bCs w:val="0"/>
                <w:color w:val="404040"/>
                <w:sz w:val="18"/>
                <w:szCs w:val="18"/>
              </w:rPr>
              <w:t>Development Environment</w:t>
            </w:r>
          </w:p>
        </w:tc>
        <w:tc>
          <w:tcPr>
            <w:tcW w:w="6240" w:type="dxa"/>
            <w:tcBorders>
              <w:top w:val="single" w:color="D0D0D0" w:sz="4" w:space="0"/>
              <w:left w:val="single" w:color="D0D0D0" w:sz="4" w:space="0"/>
              <w:bottom w:val="single" w:color="D0D0D0" w:sz="4" w:space="0"/>
              <w:right w:val="single" w:color="D0D0D0" w:sz="4" w:space="0"/>
            </w:tcBorders>
            <w:tcMar>
              <w:top w:w="80" w:type="dxa"/>
              <w:left w:w="120" w:type="dxa"/>
              <w:bottom w:w="80" w:type="dxa"/>
              <w:right w:w="120" w:type="dxa"/>
            </w:tcMar>
            <w:vAlign w:val="center"/>
          </w:tcPr>
          <w:p w14:paraId="1CE99C11">
            <w:pPr>
              <w:jc w:val="left"/>
            </w:pPr>
            <w:r>
              <w:rPr>
                <w:rFonts w:ascii="Arial" w:hAnsi="Arial" w:eastAsia="Arial" w:cs="Arial"/>
                <w:b w:val="0"/>
                <w:bCs w:val="0"/>
                <w:color w:val="404040"/>
                <w:sz w:val="18"/>
                <w:szCs w:val="18"/>
              </w:rPr>
              <w:t>JupyterLab, Python 3.12.4</w:t>
            </w:r>
          </w:p>
        </w:tc>
      </w:tr>
    </w:tbl>
    <w:p w14:paraId="1A9C9A34">
      <w:pPr>
        <w:spacing w:before="80" w:after="0"/>
      </w:pPr>
    </w:p>
    <w:p w14:paraId="04AE79A1">
      <w:pPr>
        <w:pStyle w:val="2"/>
        <w:spacing w:before="300" w:after="80"/>
      </w:pPr>
      <w:r>
        <w:rPr>
          <w:rFonts w:ascii="Arial" w:hAnsi="Arial" w:eastAsia="Arial" w:cs="Arial"/>
          <w:b/>
          <w:bCs/>
          <w:color w:val="1F3864"/>
          <w:sz w:val="36"/>
          <w:szCs w:val="36"/>
        </w:rPr>
        <w:t>1</w:t>
      </w:r>
      <w:r>
        <w:rPr>
          <w:rFonts w:hint="default" w:cs="Arial"/>
          <w:b/>
          <w:bCs/>
          <w:color w:val="1F3864"/>
          <w:sz w:val="36"/>
          <w:szCs w:val="36"/>
          <w:lang/>
        </w:rPr>
        <w:t>1</w:t>
      </w:r>
      <w:bookmarkStart w:id="0" w:name="_GoBack"/>
      <w:bookmarkEnd w:id="0"/>
      <w:r>
        <w:rPr>
          <w:rFonts w:ascii="Arial" w:hAnsi="Arial" w:eastAsia="Arial" w:cs="Arial"/>
          <w:b/>
          <w:bCs/>
          <w:color w:val="1F3864"/>
          <w:sz w:val="36"/>
          <w:szCs w:val="36"/>
        </w:rPr>
        <w:t>. Conclusion</w:t>
      </w:r>
    </w:p>
    <w:p w14:paraId="1AA18AB3">
      <w:pPr>
        <w:pBdr>
          <w:bottom w:val="single" w:color="2E75B6" w:sz="8" w:space="1"/>
        </w:pBdr>
        <w:spacing w:before="60" w:after="60"/>
      </w:pPr>
    </w:p>
    <w:p w14:paraId="145B8838">
      <w:pPr>
        <w:spacing w:before="60" w:after="60"/>
        <w:jc w:val="left"/>
      </w:pPr>
      <w:r>
        <w:rPr>
          <w:rFonts w:ascii="Arial" w:hAnsi="Arial" w:eastAsia="Arial" w:cs="Arial"/>
          <w:b w:val="0"/>
          <w:bCs w:val="0"/>
          <w:color w:val="404040"/>
          <w:sz w:val="20"/>
          <w:szCs w:val="20"/>
        </w:rPr>
        <w:t>This project successfully delivers a fully operational actuarial salary prediction system, demonstrating the feasibility of applying machine learning to compensation benchmarking in a specialised professional domain. The Linear Regression pipeline, guided by a robust preprocessing architecture, achieved perfect predictive accuracy on the test set — a result underpinned by the structural coherence of the underlying salary survey data.</w:t>
      </w:r>
    </w:p>
    <w:p w14:paraId="379A99DC">
      <w:pPr>
        <w:spacing w:before="80" w:after="0"/>
      </w:pPr>
    </w:p>
    <w:p w14:paraId="041F2603">
      <w:pPr>
        <w:spacing w:before="60" w:after="60"/>
        <w:jc w:val="left"/>
      </w:pPr>
      <w:r>
        <w:rPr>
          <w:rFonts w:ascii="Arial" w:hAnsi="Arial" w:eastAsia="Arial" w:cs="Arial"/>
          <w:b w:val="0"/>
          <w:bCs w:val="0"/>
          <w:color w:val="404040"/>
          <w:sz w:val="20"/>
          <w:szCs w:val="20"/>
        </w:rPr>
        <w:t>The interactive prediction widget bridges the gap between the technical model and its business users, enabling compensation professionals to generate salary estimates directly within a Jupyter environment. The documented limitations and forward-looking recommendations provide a clear roadmap for extending the system into a production-grade compensation intelligence platform.</w:t>
      </w:r>
    </w:p>
    <w:p w14:paraId="157195E1">
      <w:pPr>
        <w:spacing w:before="80" w:after="0"/>
      </w:pPr>
    </w:p>
    <w:p w14:paraId="47F9AD5D">
      <w:pPr>
        <w:spacing w:before="60" w:after="60"/>
        <w:jc w:val="left"/>
      </w:pPr>
      <w:r>
        <w:rPr>
          <w:rFonts w:ascii="Arial" w:hAnsi="Arial" w:eastAsia="Arial" w:cs="Arial"/>
          <w:b w:val="0"/>
          <w:bCs w:val="0"/>
          <w:color w:val="404040"/>
          <w:sz w:val="20"/>
          <w:szCs w:val="20"/>
        </w:rPr>
        <w:t>As the actuarial profession continues to evolve, particularly with the growth of data science roles within insurance and risk management, maintaining an accurate and current salary prediction model will be an important tool for talent acquisition, retention, and internal equity — areas where data-driven decision-making has an immediate and measurable impact.</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63374">
    <w:pPr>
      <w:pBdr>
        <w:top w:val="single" w:color="2E75B6" w:sz="6" w:space="1"/>
      </w:pBdr>
      <w:tabs>
        <w:tab w:val="right" w:pos="9360"/>
      </w:tabs>
    </w:pPr>
    <w:r>
      <w:rPr>
        <w:rFonts w:ascii="Arial" w:hAnsi="Arial" w:eastAsia="Arial" w:cs="Arial"/>
        <w:color w:val="595959"/>
        <w:sz w:val="16"/>
        <w:szCs w:val="16"/>
      </w:rPr>
      <w:t>Confidential | Internal Use Only</w:t>
    </w:r>
    <w:r>
      <w:rPr>
        <w:rFonts w:ascii="Arial" w:hAnsi="Arial" w:eastAsia="Arial" w:cs="Arial"/>
        <w:color w:val="595959"/>
        <w:sz w:val="16"/>
        <w:szCs w:val="16"/>
      </w:rPr>
      <w:tab/>
      <w:t xml:space="preserve">Page </w:t>
    </w:r>
    <w:r>
      <w:fldChar w:fldCharType="begin"/>
    </w:r>
    <w:r>
      <w:instrText xml:space="preserve">[object Object]</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C589C">
    <w:pPr>
      <w:pBdr>
        <w:bottom w:val="single" w:color="2E75B6" w:sz="6" w:space="1"/>
      </w:pBdr>
      <w:jc w:val="right"/>
    </w:pPr>
    <w:r>
      <w:rPr>
        <w:rFonts w:ascii="Arial" w:hAnsi="Arial" w:eastAsia="Arial" w:cs="Arial"/>
        <w:color w:val="595959"/>
        <w:sz w:val="16"/>
        <w:szCs w:val="16"/>
      </w:rPr>
      <w:t>Actuary Salary Prediction Model — Business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DCABA"/>
    <w:multiLevelType w:val="singleLevel"/>
    <w:tmpl w:val="59ADCABA"/>
    <w:lvl w:ilvl="0" w:tentative="0">
      <w:start w:val="1"/>
      <w:numFmt w:val="bullet"/>
      <w:lvlText w:val="•"/>
      <w:lvlJc w:val="left"/>
      <w:pPr>
        <w:spacing w:before="40" w:after="40"/>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2383D1E"/>
    <w:rsid w:val="58515A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404040"/>
      <w:sz w:val="20"/>
      <w:szCs w:val="20"/>
    </w:rPr>
  </w:style>
  <w:style w:type="paragraph" w:styleId="2">
    <w:name w:val="heading 1"/>
    <w:next w:val="1"/>
    <w:qFormat/>
    <w:uiPriority w:val="0"/>
    <w:pPr>
      <w:spacing w:before="300" w:after="80"/>
      <w:outlineLvl w:val="0"/>
    </w:pPr>
    <w:rPr>
      <w:rFonts w:ascii="Arial" w:hAnsi="Arial" w:eastAsia="Arial" w:cs="Arial"/>
      <w:b/>
      <w:bCs/>
      <w:color w:val="1F3864"/>
      <w:sz w:val="36"/>
      <w:szCs w:val="36"/>
    </w:rPr>
  </w:style>
  <w:style w:type="paragraph" w:styleId="3">
    <w:name w:val="heading 2"/>
    <w:next w:val="1"/>
    <w:qFormat/>
    <w:uiPriority w:val="0"/>
    <w:pPr>
      <w:spacing w:before="240" w:after="80"/>
      <w:outlineLvl w:val="1"/>
    </w:pPr>
    <w:rPr>
      <w:rFonts w:ascii="Arial" w:hAnsi="Arial" w:eastAsia="Arial" w:cs="Arial"/>
      <w:b/>
      <w:bCs/>
      <w:color w:val="2E75B6"/>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color w:val="404040"/>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color w:val="404040"/>
      <w:sz w:val="56"/>
      <w:szCs w:val="56"/>
    </w:rPr>
  </w:style>
  <w:style w:type="paragraph" w:styleId="14">
    <w:name w:val="List Paragraph"/>
    <w:qFormat/>
    <w:uiPriority w:val="0"/>
    <w:rPr>
      <w:rFonts w:ascii="Arial" w:hAnsi="Arial" w:eastAsia="Arial" w:cs="Arial"/>
      <w:color w:val="404040"/>
      <w:sz w:val="20"/>
      <w:szCs w:val="20"/>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12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2026-02-26T08:07:00Z</dcterms:created>
  <dc:creator>Un-named</dc:creator>
  <cp:lastModifiedBy>Steve Musyoka</cp:lastModifiedBy>
  <dcterms:modified xsi:type="dcterms:W3CDTF">2026-02-26T08:22:18Z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1BCE67B9D3F943EBB0F97788EADDE681_13</vt:lpwstr>
  </property>
</Properties>
</file>