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Florida · Statutes and Sources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Hackles · a free kit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Access date for every source below: 2026-10-05.</w:t>
      </w:r>
      <w:r>
        <w:rPr/>
        <w:t xml:space="preserve"> Status: DRAFT working document. Not legal advice.</w:t>
      </w:r>
    </w:p>
    <w:p>
      <w:pPr>
        <w:pStyle w:val="Heading2"/>
        <w:pBdr>
          <w:top w:val="single" w:sz="18" w:space="6" w:color="FF8A3D"/>
        </w:pBdr>
        <w:spacing w:before="320"/>
      </w:pPr>
      <w:r>
        <w:rPr/>
        <w:t>How I read the sources</w:t>
      </w:r>
    </w:p>
    <w:p>
      <w:pPr>
        <w:pStyle w:val="ListBullet"/>
      </w:pPr>
      <w:r>
        <w:rPr>
          <w:b/>
        </w:rPr>
        <w:t>Read directly</w:t>
      </w:r>
      <w:r>
        <w:rPr/>
        <w:t xml:space="preserve"> = I fetched the page or document and read the relevant text myself (raw HTML or PDF text, or the page's text in the built-in browser). Only these support a [VERIFIED 2026-10-05: ...] tag.</w:t>
      </w:r>
    </w:p>
    <w:p>
      <w:pPr>
        <w:pStyle w:val="ListBullet"/>
      </w:pPr>
      <w:r>
        <w:rPr/>
        <w:t>Early summaries returned by an automated page-summary tool were used only as pointers to find the right pages. Nothing in this folder is tagged VERIFIED on the strength of such a summary.</w:t>
      </w:r>
    </w:p>
    <w:p>
      <w:pPr>
        <w:pStyle w:val="ListBullet"/>
      </w:pPr>
      <w:r>
        <w:rPr/>
        <w:t>The FLDOE site blocks command-line fetches (HTTP 403 "Access Denied"), so FLDOE pages were read in the built-in browser pane. The FLDOE student guide PDF triggered a download dialog in that browser, so I did not read it from the web; the project owner later supplied the PDF file and I read it in full (source 21).</w:t>
      </w:r>
    </w:p>
    <w:p>
      <w:pPr>
        <w:pStyle w:val="ListBullet"/>
      </w:pPr>
      <w:r>
        <w:rPr/>
        <w:t xml:space="preserve">Statutes are the </w:t>
      </w:r>
      <w:r>
        <w:rPr>
          <w:b/>
        </w:rPr>
        <w:t>2026 Florida Statutes</w:t>
      </w:r>
      <w:r>
        <w:rPr/>
        <w:t xml:space="preserve"> as displayed on the Florida Legislature's site on 2026-10-05, with history notes through s. 4, ch. 2026-33.</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Primary sources read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3"/>
        <w:gridCol w:w="1061"/>
        <w:gridCol w:w="3531"/>
        <w:gridCol w:w="1044"/>
        <w:gridCol w:w="2244"/>
        <w:gridCol w:w="1559"/>
      </w:tblGrid>
      <w:tr>
        <w:trPr>
          <w:tblHeader/>
          <w:cantSplit/>
        </w:trPr>
        <w:tc>
          <w:tcPr>
            <w:tcW w:type="dxa" w:w="35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10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SOURCE</w:t>
            </w:r>
          </w:p>
        </w:tc>
        <w:tc>
          <w:tcPr>
            <w:tcW w:type="dxa" w:w="35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URL</w:t>
            </w:r>
          </w:p>
        </w:tc>
        <w:tc>
          <w:tcPr>
            <w:tcW w:type="dxa" w:w="10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METHOD</w:t>
            </w:r>
          </w:p>
        </w:tc>
        <w:tc>
          <w:tcPr>
            <w:tcW w:type="dxa" w:w="22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 VERIFIED</w:t>
            </w:r>
          </w:p>
        </w:tc>
        <w:tc>
          <w:tcPr>
            <w:tcW w:type="dxa" w:w="15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 COULD NOT VERIFY</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1</w:t>
            </w:r>
          </w:p>
        </w:tc>
        <w:tc>
          <w:tcPr>
            <w:tcW w:type="dxa" w:w="1061"/>
            <w:tcMar>
              <w:top w:w="50" w:type="dxa"/>
              <w:left w:w="90" w:type="dxa"/>
              <w:bottom w:w="60" w:type="dxa"/>
              <w:right w:w="90" w:type="dxa"/>
            </w:tcMar>
          </w:tcPr>
          <w:p>
            <w:pPr>
              <w:spacing w:before="0" w:after="0" w:line="252" w:lineRule="auto"/>
            </w:pPr>
            <w:r>
              <w:rPr>
                <w:rFonts w:ascii="Calibri" w:hAnsi="Calibri"/>
                <w:b/>
                <w:sz w:val="19"/>
              </w:rPr>
              <w:t>s. 1003.42, F.S., Required instruction</w:t>
            </w:r>
            <w:r>
              <w:rPr>
                <w:rFonts w:ascii="Calibri" w:hAnsi="Calibri"/>
                <w:sz w:val="19"/>
              </w:rPr>
              <w:t xml:space="preserve"> (2026)</w:t>
            </w:r>
          </w:p>
        </w:tc>
        <w:tc>
          <w:tcPr>
            <w:tcW w:type="dxa" w:w="3531"/>
            <w:tcMar>
              <w:top w:w="50" w:type="dxa"/>
              <w:left w:w="90" w:type="dxa"/>
              <w:bottom w:w="60" w:type="dxa"/>
              <w:right w:w="90" w:type="dxa"/>
            </w:tcMar>
          </w:tcPr>
          <w:p>
            <w:pPr>
              <w:spacing w:before="0" w:after="0" w:line="252" w:lineRule="auto"/>
            </w:pPr>
            <w:r>
              <w:rPr>
                <w:rFonts w:ascii="Calibri" w:hAnsi="Calibri"/>
                <w:sz w:val="19"/>
              </w:rPr>
              <w:t>http://www.leg.state.fl.us/statutes/index.cfm?App_mode=Display_Statute&amp;URL=1000-1099/1003/Sections/1003.42.html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(raw HTML)</w:t>
            </w:r>
          </w:p>
        </w:tc>
        <w:tc>
          <w:tcPr>
            <w:tcW w:type="dxa" w:w="2244"/>
            <w:tcMar>
              <w:top w:w="50" w:type="dxa"/>
              <w:left w:w="90" w:type="dxa"/>
              <w:bottom w:w="60" w:type="dxa"/>
              <w:right w:w="90" w:type="dxa"/>
            </w:tcMar>
          </w:tcPr>
          <w:p>
            <w:pPr>
              <w:spacing w:before="0" w:after="0" w:line="252" w:lineRule="auto"/>
            </w:pPr>
            <w:r>
              <w:rPr>
                <w:rFonts w:ascii="Calibri" w:hAnsi="Calibri"/>
                <w:sz w:val="19"/>
              </w:rPr>
              <w:t>(2)(o)5.a. and 5.b. exact text; (2) intro (instructional staff, "subject to the rules of the State Board of Education and the district school board"); (1)(b) department approval limited to reproductive health and disease materials; (2)(o) closing sentence on subsection (3); (5) parent exemption for reproductive health/disease and homepage notice; (6) implementation plan (methods per grade, qualifications, materials), (7) 45-day revision, (8) State Board action; "State Board of Education is encouraged to adopt standards and pursue assessment"; history note through s. 4, ch. 2026-33.</w:t>
            </w:r>
          </w:p>
        </w:tc>
        <w:tc>
          <w:tcPr>
            <w:tcW w:type="dxa" w:w="1559"/>
            <w:tcMar>
              <w:top w:w="50" w:type="dxa"/>
              <w:left w:w="90" w:type="dxa"/>
              <w:bottom w:w="60" w:type="dxa"/>
              <w:right w:w="90" w:type="dxa"/>
            </w:tcMar>
          </w:tcPr>
          <w:p>
            <w:pPr>
              <w:spacing w:before="0" w:after="0" w:line="252" w:lineRule="auto"/>
            </w:pPr>
            <w:r>
              <w:rPr>
                <w:rFonts w:ascii="Calibri" w:hAnsi="Calibri"/>
                <w:sz w:val="19"/>
              </w:rPr>
              <w:t>Which later laws added subsections (6)-(8); what ch. 2026-33 changed. Paragraph lettering changed over time: HB 379 amended it as paragraph (n) in 2023; it is paragraph (o) in 2026.</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2</w:t>
            </w:r>
          </w:p>
        </w:tc>
        <w:tc>
          <w:tcPr>
            <w:tcW w:type="dxa" w:w="1061"/>
            <w:tcMar>
              <w:top w:w="50" w:type="dxa"/>
              <w:left w:w="90" w:type="dxa"/>
              <w:bottom w:w="60" w:type="dxa"/>
              <w:right w:w="90" w:type="dxa"/>
            </w:tcMar>
          </w:tcPr>
          <w:p>
            <w:pPr>
              <w:spacing w:before="0" w:after="0" w:line="252" w:lineRule="auto"/>
            </w:pPr>
            <w:r>
              <w:rPr>
                <w:rFonts w:ascii="Calibri" w:hAnsi="Calibri"/>
                <w:b/>
                <w:sz w:val="19"/>
              </w:rPr>
              <w:t>CS/HB 379 (2023), Technology in K-12 Public Schools</w:t>
            </w:r>
            <w:r>
              <w:rPr>
                <w:rFonts w:ascii="Calibri" w:hAnsi="Calibri"/>
                <w:sz w:val="19"/>
              </w:rPr>
              <w:t>, bill page</w:t>
            </w:r>
          </w:p>
        </w:tc>
        <w:tc>
          <w:tcPr>
            <w:tcW w:type="dxa" w:w="3531"/>
            <w:tcMar>
              <w:top w:w="50" w:type="dxa"/>
              <w:left w:w="90" w:type="dxa"/>
              <w:bottom w:w="60" w:type="dxa"/>
              <w:right w:w="90" w:type="dxa"/>
            </w:tcMar>
          </w:tcPr>
          <w:p>
            <w:pPr>
              <w:spacing w:before="0" w:after="0" w:line="252" w:lineRule="auto"/>
            </w:pPr>
            <w:r>
              <w:rPr>
                <w:rFonts w:ascii="Calibri" w:hAnsi="Calibri"/>
                <w:sz w:val="19"/>
              </w:rPr>
              <w:t>https://www.flsenate.gov/Session/Bill/2023/379</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w:t>
            </w:r>
          </w:p>
        </w:tc>
        <w:tc>
          <w:tcPr>
            <w:tcW w:type="dxa" w:w="2244"/>
            <w:tcMar>
              <w:top w:w="50" w:type="dxa"/>
              <w:left w:w="90" w:type="dxa"/>
              <w:bottom w:w="60" w:type="dxa"/>
              <w:right w:w="90" w:type="dxa"/>
            </w:tcMar>
          </w:tcPr>
          <w:p>
            <w:pPr>
              <w:spacing w:before="0" w:after="0" w:line="252" w:lineRule="auto"/>
            </w:pPr>
            <w:r>
              <w:rPr>
                <w:rFonts w:ascii="Calibri" w:hAnsi="Calibri"/>
                <w:sz w:val="19"/>
              </w:rPr>
              <w:t>Effective date 7/1/2023; chapter number 2023-36.</w:t>
            </w:r>
          </w:p>
        </w:tc>
        <w:tc>
          <w:tcPr>
            <w:tcW w:type="dxa" w:w="1559"/>
            <w:tcMar>
              <w:top w:w="50" w:type="dxa"/>
              <w:left w:w="90" w:type="dxa"/>
              <w:bottom w:w="60" w:type="dxa"/>
              <w:right w:w="90" w:type="dxa"/>
            </w:tcMar>
          </w:tcPr>
          <w:p>
            <w:pPr>
              <w:spacing w:before="0" w:after="0" w:line="252" w:lineRule="auto"/>
            </w:pPr>
            <w:r>
              <w:rPr>
                <w:rFonts w:ascii="Calibri" w:hAnsi="Calibri"/>
                <w:sz w:val="19"/>
              </w:rPr>
              <w:t>Final committee analyses were not read.</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3</w:t>
            </w:r>
          </w:p>
        </w:tc>
        <w:tc>
          <w:tcPr>
            <w:tcW w:type="dxa" w:w="1061"/>
            <w:tcMar>
              <w:top w:w="50" w:type="dxa"/>
              <w:left w:w="90" w:type="dxa"/>
              <w:bottom w:w="60" w:type="dxa"/>
              <w:right w:w="90" w:type="dxa"/>
            </w:tcMar>
          </w:tcPr>
          <w:p>
            <w:pPr>
              <w:spacing w:before="0" w:after="0" w:line="252" w:lineRule="auto"/>
            </w:pPr>
            <w:r>
              <w:rPr>
                <w:rFonts w:ascii="Calibri" w:hAnsi="Calibri"/>
                <w:b/>
                <w:sz w:val="19"/>
              </w:rPr>
              <w:t>Enrolled CS/HB 379</w:t>
            </w:r>
            <w:r>
              <w:rPr>
                <w:rFonts w:ascii="Calibri" w:hAnsi="Calibri"/>
                <w:sz w:val="19"/>
              </w:rPr>
              <w:t xml:space="preserve"> (PDF)</w:t>
            </w:r>
          </w:p>
        </w:tc>
        <w:tc>
          <w:tcPr>
            <w:tcW w:type="dxa" w:w="3531"/>
            <w:tcMar>
              <w:top w:w="50" w:type="dxa"/>
              <w:left w:w="90" w:type="dxa"/>
              <w:bottom w:w="60" w:type="dxa"/>
              <w:right w:w="90" w:type="dxa"/>
            </w:tcMar>
          </w:tcPr>
          <w:p>
            <w:pPr>
              <w:spacing w:before="0" w:after="0" w:line="252" w:lineRule="auto"/>
            </w:pPr>
            <w:r>
              <w:rPr>
                <w:rFonts w:ascii="Calibri" w:hAnsi="Calibri"/>
                <w:sz w:val="19"/>
              </w:rPr>
              <w:t>https://www.flsenate.gov/Session/Bill/2023/379/BillText/er/PDF</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(PDF text)</w:t>
            </w:r>
          </w:p>
        </w:tc>
        <w:tc>
          <w:tcPr>
            <w:tcW w:type="dxa" w:w="2244"/>
            <w:tcMar>
              <w:top w:w="50" w:type="dxa"/>
              <w:left w:w="90" w:type="dxa"/>
              <w:bottom w:w="60" w:type="dxa"/>
              <w:right w:w="90" w:type="dxa"/>
            </w:tcMar>
          </w:tcPr>
          <w:p>
            <w:pPr>
              <w:spacing w:before="0" w:after="0" w:line="252" w:lineRule="auto"/>
            </w:pPr>
            <w:r>
              <w:rPr>
                <w:rFonts w:ascii="Calibri" w:hAnsi="Calibri"/>
                <w:sz w:val="19"/>
              </w:rPr>
              <w:t>Full enrolled text: 1003.02 Internet safety policy, social media block and TikTok ban; 1003.32; 1003.42 new social media instruction; 1006.07; "Section 5. This act shall take effect July 1, 2023."</w:t>
            </w:r>
          </w:p>
        </w:tc>
        <w:tc>
          <w:tcPr>
            <w:tcW w:type="dxa" w:w="1559"/>
            <w:tcMar>
              <w:top w:w="50" w:type="dxa"/>
              <w:left w:w="90" w:type="dxa"/>
              <w:bottom w:w="60" w:type="dxa"/>
              <w:right w:w="90" w:type="dxa"/>
            </w:tcMar>
          </w:tcPr>
          <w:p>
            <w:pPr>
              <w:spacing w:before="0" w:after="0" w:line="252" w:lineRule="auto"/>
            </w:pPr>
            <w:r>
              <w:rPr>
                <w:rFonts w:ascii="Calibri" w:hAnsi="Calibri"/>
                <w:sz w:val="19"/>
              </w:rPr>
              <w:t>Nothing material.</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4</w:t>
            </w:r>
          </w:p>
        </w:tc>
        <w:tc>
          <w:tcPr>
            <w:tcW w:type="dxa" w:w="1061"/>
            <w:tcMar>
              <w:top w:w="50" w:type="dxa"/>
              <w:left w:w="90" w:type="dxa"/>
              <w:bottom w:w="60" w:type="dxa"/>
              <w:right w:w="90" w:type="dxa"/>
            </w:tcMar>
          </w:tcPr>
          <w:p>
            <w:pPr>
              <w:spacing w:before="0" w:after="0" w:line="252" w:lineRule="auto"/>
            </w:pPr>
            <w:r>
              <w:rPr>
                <w:rFonts w:ascii="Calibri" w:hAnsi="Calibri"/>
                <w:b/>
                <w:sz w:val="19"/>
              </w:rPr>
              <w:t>Chapter 2023-36, Laws of Florida</w:t>
            </w:r>
          </w:p>
        </w:tc>
        <w:tc>
          <w:tcPr>
            <w:tcW w:type="dxa" w:w="3531"/>
            <w:tcMar>
              <w:top w:w="50" w:type="dxa"/>
              <w:left w:w="90" w:type="dxa"/>
              <w:bottom w:w="60" w:type="dxa"/>
              <w:right w:w="90" w:type="dxa"/>
            </w:tcMar>
          </w:tcPr>
          <w:p>
            <w:pPr>
              <w:spacing w:before="0" w:after="0" w:line="252" w:lineRule="auto"/>
            </w:pPr>
            <w:r>
              <w:rPr>
                <w:rFonts w:ascii="Calibri" w:hAnsi="Calibri"/>
                <w:sz w:val="19"/>
              </w:rPr>
              <w:t>https://laws.flrules.org/2023/36</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(PDF text, header and approval line)</w:t>
            </w:r>
          </w:p>
        </w:tc>
        <w:tc>
          <w:tcPr>
            <w:tcW w:type="dxa" w:w="2244"/>
            <w:tcMar>
              <w:top w:w="50" w:type="dxa"/>
              <w:left w:w="90" w:type="dxa"/>
              <w:bottom w:w="60" w:type="dxa"/>
              <w:right w:w="90" w:type="dxa"/>
            </w:tcMar>
          </w:tcPr>
          <w:p>
            <w:pPr>
              <w:spacing w:before="0" w:after="0" w:line="252" w:lineRule="auto"/>
            </w:pPr>
            <w:r>
              <w:rPr>
                <w:rFonts w:ascii="Calibri" w:hAnsi="Calibri"/>
                <w:sz w:val="19"/>
              </w:rPr>
              <w:t>Title "Committee Substitute for House Bill No. 379"; approved by the Governor May 9, 2023; filed May 9, 2023.</w:t>
            </w:r>
          </w:p>
        </w:tc>
        <w:tc>
          <w:tcPr>
            <w:tcW w:type="dxa" w:w="1559"/>
            <w:tcMar>
              <w:top w:w="50" w:type="dxa"/>
              <w:left w:w="90" w:type="dxa"/>
              <w:bottom w:w="60" w:type="dxa"/>
              <w:right w:w="90" w:type="dxa"/>
            </w:tcMar>
          </w:tcPr>
          <w:p>
            <w:pPr>
              <w:spacing w:before="0" w:after="0" w:line="252" w:lineRule="auto"/>
            </w:pPr>
            <w:r>
              <w:rPr>
                <w:rFonts w:ascii="Calibri" w:hAnsi="Calibri"/>
                <w:sz w:val="19"/>
              </w:rPr>
              <w:t>Full chapter law text was not re-read (matches enrolled text). Note: the 1003.42 history note also lists "ss. 4, 7, ch. 2023-105"; that is a different bill (CS/CS/HB 1069), not HB 379.</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5</w:t>
            </w:r>
          </w:p>
        </w:tc>
        <w:tc>
          <w:tcPr>
            <w:tcW w:type="dxa" w:w="1061"/>
            <w:tcMar>
              <w:top w:w="50" w:type="dxa"/>
              <w:left w:w="90" w:type="dxa"/>
              <w:bottom w:w="60" w:type="dxa"/>
              <w:right w:w="90" w:type="dxa"/>
            </w:tcMar>
          </w:tcPr>
          <w:p>
            <w:pPr>
              <w:spacing w:before="0" w:after="0" w:line="252" w:lineRule="auto"/>
            </w:pPr>
            <w:r>
              <w:rPr>
                <w:rFonts w:ascii="Calibri" w:hAnsi="Calibri"/>
                <w:b/>
                <w:sz w:val="19"/>
              </w:rPr>
              <w:t>s. 1003.02, F.S.</w:t>
            </w:r>
            <w:r>
              <w:rPr>
                <w:rFonts w:ascii="Calibri" w:hAnsi="Calibri"/>
                <w:sz w:val="19"/>
              </w:rPr>
              <w:t xml:space="preserve"> (2026)</w:t>
            </w:r>
          </w:p>
        </w:tc>
        <w:tc>
          <w:tcPr>
            <w:tcW w:type="dxa" w:w="3531"/>
            <w:tcMar>
              <w:top w:w="50" w:type="dxa"/>
              <w:left w:w="90" w:type="dxa"/>
              <w:bottom w:w="60" w:type="dxa"/>
              <w:right w:w="90" w:type="dxa"/>
            </w:tcMar>
          </w:tcPr>
          <w:p>
            <w:pPr>
              <w:spacing w:before="0" w:after="0" w:line="252" w:lineRule="auto"/>
            </w:pPr>
            <w:r>
              <w:rPr>
                <w:rFonts w:ascii="Calibri" w:hAnsi="Calibri"/>
                <w:sz w:val="19"/>
              </w:rPr>
              <w:t>http://www.leg.state.fl.us/statutes/index.cfm?App_mode=Display_Statute&amp;URL=1000-1099/1003/Sections/1003.02.html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w:t>
            </w:r>
          </w:p>
        </w:tc>
        <w:tc>
          <w:tcPr>
            <w:tcW w:type="dxa" w:w="2244"/>
            <w:tcMar>
              <w:top w:w="50" w:type="dxa"/>
              <w:left w:w="90" w:type="dxa"/>
              <w:bottom w:w="60" w:type="dxa"/>
              <w:right w:w="90" w:type="dxa"/>
            </w:tcMar>
          </w:tcPr>
          <w:p>
            <w:pPr>
              <w:spacing w:before="0" w:after="0" w:line="252" w:lineRule="auto"/>
            </w:pPr>
            <w:r>
              <w:rPr>
                <w:rFonts w:ascii="Calibri" w:hAnsi="Calibri"/>
                <w:sz w:val="19"/>
              </w:rPr>
              <w:t>(1)(g)3.-5. Internet safety policy, social media access prohibition (except teacher-directed educational use), TikTok prohibition, State Board rules to administer.</w:t>
            </w:r>
          </w:p>
        </w:tc>
        <w:tc>
          <w:tcPr>
            <w:tcW w:type="dxa" w:w="1559"/>
            <w:tcMar>
              <w:top w:w="50" w:type="dxa"/>
              <w:left w:w="90" w:type="dxa"/>
              <w:bottom w:w="60" w:type="dxa"/>
              <w:right w:w="90" w:type="dxa"/>
            </w:tcMar>
          </w:tcPr>
          <w:p>
            <w:pPr>
              <w:spacing w:before="0" w:after="0" w:line="252" w:lineRule="auto"/>
            </w:pPr>
            <w:r>
              <w:rPr>
                <w:rFonts w:ascii="Calibri" w:hAnsi="Calibri"/>
                <w:sz w:val="19"/>
              </w:rPr>
              <w:t>State Board rule number implementing it.</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6</w:t>
            </w:r>
          </w:p>
        </w:tc>
        <w:tc>
          <w:tcPr>
            <w:tcW w:type="dxa" w:w="1061"/>
            <w:tcMar>
              <w:top w:w="50" w:type="dxa"/>
              <w:left w:w="90" w:type="dxa"/>
              <w:bottom w:w="60" w:type="dxa"/>
              <w:right w:w="90" w:type="dxa"/>
            </w:tcMar>
          </w:tcPr>
          <w:p>
            <w:pPr>
              <w:spacing w:before="0" w:after="0" w:line="252" w:lineRule="auto"/>
            </w:pPr>
            <w:r>
              <w:rPr>
                <w:rFonts w:ascii="Calibri" w:hAnsi="Calibri"/>
                <w:b/>
                <w:sz w:val="19"/>
              </w:rPr>
              <w:t>s. 501.1736, F.S. (HB 3, 2024), Social media use for minors</w:t>
            </w:r>
          </w:p>
        </w:tc>
        <w:tc>
          <w:tcPr>
            <w:tcW w:type="dxa" w:w="3531"/>
            <w:tcMar>
              <w:top w:w="50" w:type="dxa"/>
              <w:left w:w="90" w:type="dxa"/>
              <w:bottom w:w="60" w:type="dxa"/>
              <w:right w:w="90" w:type="dxa"/>
            </w:tcMar>
          </w:tcPr>
          <w:p>
            <w:pPr>
              <w:spacing w:before="0" w:after="0" w:line="252" w:lineRule="auto"/>
            </w:pPr>
            <w:r>
              <w:rPr>
                <w:rFonts w:ascii="Calibri" w:hAnsi="Calibri"/>
                <w:sz w:val="19"/>
              </w:rPr>
              <w:t>http://www.leg.state.fl.us/statutes/index.cfm?App_mode=Display_Statute&amp;URL=0500-0599/0501/Sections/0501.1736.html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w:t>
            </w:r>
          </w:p>
        </w:tc>
        <w:tc>
          <w:tcPr>
            <w:tcW w:type="dxa" w:w="2244"/>
            <w:tcMar>
              <w:top w:w="50" w:type="dxa"/>
              <w:left w:w="90" w:type="dxa"/>
              <w:bottom w:w="60" w:type="dxa"/>
              <w:right w:w="90" w:type="dxa"/>
            </w:tcMar>
          </w:tcPr>
          <w:p>
            <w:pPr>
              <w:spacing w:before="0" w:after="0" w:line="252" w:lineRule="auto"/>
            </w:pPr>
            <w:r>
              <w:rPr>
                <w:rFonts w:ascii="Calibri" w:hAnsi="Calibri"/>
                <w:sz w:val="19"/>
              </w:rPr>
              <w:t>Definitions (including "addictive features"), under-14 prohibition and termination, 14-15 parental consent, severability on injunction, Department of Legal Affairs enforcement, history (ch. 2024-42; ch. 2024-54).</w:t>
            </w:r>
          </w:p>
        </w:tc>
        <w:tc>
          <w:tcPr>
            <w:tcW w:type="dxa" w:w="1559"/>
            <w:tcMar>
              <w:top w:w="50" w:type="dxa"/>
              <w:left w:w="90" w:type="dxa"/>
              <w:bottom w:w="60" w:type="dxa"/>
              <w:right w:w="90" w:type="dxa"/>
            </w:tcMar>
          </w:tcPr>
          <w:p>
            <w:pPr>
              <w:spacing w:before="0" w:after="0" w:line="252" w:lineRule="auto"/>
            </w:pPr>
            <w:r>
              <w:rPr>
                <w:rFonts w:ascii="Calibri" w:hAnsi="Calibri"/>
                <w:sz w:val="19"/>
              </w:rPr>
              <w:t>Effective date (the statute text does not state it); enforcement status; any court order or injunction. [VERIFY]</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7</w:t>
            </w:r>
          </w:p>
        </w:tc>
        <w:tc>
          <w:tcPr>
            <w:tcW w:type="dxa" w:w="1061"/>
            <w:tcMar>
              <w:top w:w="50" w:type="dxa"/>
              <w:left w:w="90" w:type="dxa"/>
              <w:bottom w:w="60" w:type="dxa"/>
              <w:right w:w="90" w:type="dxa"/>
            </w:tcMar>
          </w:tcPr>
          <w:p>
            <w:pPr>
              <w:spacing w:before="0" w:after="0" w:line="252" w:lineRule="auto"/>
            </w:pPr>
            <w:r>
              <w:rPr>
                <w:rFonts w:ascii="Calibri" w:hAnsi="Calibri"/>
                <w:b/>
                <w:sz w:val="19"/>
              </w:rPr>
              <w:t>s. 39.201, F.S., Mandatory reporting</w:t>
            </w:r>
            <w:r>
              <w:rPr>
                <w:rFonts w:ascii="Calibri" w:hAnsi="Calibri"/>
                <w:sz w:val="19"/>
              </w:rPr>
              <w:t xml:space="preserve"> (2026)</w:t>
            </w:r>
          </w:p>
        </w:tc>
        <w:tc>
          <w:tcPr>
            <w:tcW w:type="dxa" w:w="3531"/>
            <w:tcMar>
              <w:top w:w="50" w:type="dxa"/>
              <w:left w:w="90" w:type="dxa"/>
              <w:bottom w:w="60" w:type="dxa"/>
              <w:right w:w="90" w:type="dxa"/>
            </w:tcMar>
          </w:tcPr>
          <w:p>
            <w:pPr>
              <w:spacing w:before="0" w:after="0" w:line="252" w:lineRule="auto"/>
            </w:pPr>
            <w:r>
              <w:rPr>
                <w:rFonts w:ascii="Calibri" w:hAnsi="Calibri"/>
                <w:sz w:val="19"/>
              </w:rPr>
              <w:t>http://www.leg.state.fl.us/statutes/index.cfm?App_mode=Display_Statute&amp;URL=0000-0099/0039/Sections/0039.201.html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w:t>
            </w:r>
          </w:p>
        </w:tc>
        <w:tc>
          <w:tcPr>
            <w:tcW w:type="dxa" w:w="2244"/>
            <w:tcMar>
              <w:top w:w="50" w:type="dxa"/>
              <w:left w:w="90" w:type="dxa"/>
              <w:bottom w:w="60" w:type="dxa"/>
              <w:right w:w="90" w:type="dxa"/>
            </w:tcMar>
          </w:tcPr>
          <w:p>
            <w:pPr>
              <w:spacing w:before="0" w:after="0" w:line="252" w:lineRule="auto"/>
            </w:pPr>
            <w:r>
              <w:rPr>
                <w:rFonts w:ascii="Calibri" w:hAnsi="Calibri"/>
                <w:sz w:val="19"/>
              </w:rPr>
              <w:t>(1)(a): "A person is required to report immediately" if he or she "knows, or has reasonable cause to suspect"; (1)(b): members of the general public may report anonymously; school teachers and other school personnel must give their name.</w:t>
            </w:r>
          </w:p>
        </w:tc>
        <w:tc>
          <w:tcPr>
            <w:tcW w:type="dxa" w:w="1559"/>
            <w:tcMar>
              <w:top w:w="50" w:type="dxa"/>
              <w:left w:w="90" w:type="dxa"/>
              <w:bottom w:w="60" w:type="dxa"/>
              <w:right w:w="90" w:type="dxa"/>
            </w:tcMar>
          </w:tcPr>
          <w:p>
            <w:pPr>
              <w:spacing w:before="0" w:after="0" w:line="252" w:lineRule="auto"/>
            </w:pPr>
            <w:r>
              <w:rPr>
                <w:rFonts w:ascii="Calibri" w:hAnsi="Calibri"/>
                <w:sz w:val="19"/>
              </w:rPr>
              <w:t>The hotline phone number is not on this page (read on source 14). Whether telling a supervisor satisfies the duty. [VERIFY with district counsel]</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8</w:t>
            </w:r>
          </w:p>
        </w:tc>
        <w:tc>
          <w:tcPr>
            <w:tcW w:type="dxa" w:w="1061"/>
            <w:tcMar>
              <w:top w:w="50" w:type="dxa"/>
              <w:left w:w="90" w:type="dxa"/>
              <w:bottom w:w="60" w:type="dxa"/>
              <w:right w:w="90" w:type="dxa"/>
            </w:tcMar>
          </w:tcPr>
          <w:p>
            <w:pPr>
              <w:spacing w:before="0" w:after="0" w:line="252" w:lineRule="auto"/>
            </w:pPr>
            <w:r>
              <w:rPr>
                <w:rFonts w:ascii="Calibri" w:hAnsi="Calibri"/>
                <w:b/>
                <w:sz w:val="19"/>
              </w:rPr>
              <w:t>s. 1006.481, F.S., Human trafficking awareness training</w:t>
            </w:r>
            <w:r>
              <w:rPr>
                <w:rFonts w:ascii="Calibri" w:hAnsi="Calibri"/>
                <w:sz w:val="19"/>
              </w:rPr>
              <w:t xml:space="preserve"> (2025)</w:t>
            </w:r>
          </w:p>
        </w:tc>
        <w:tc>
          <w:tcPr>
            <w:tcW w:type="dxa" w:w="3531"/>
            <w:tcMar>
              <w:top w:w="50" w:type="dxa"/>
              <w:left w:w="90" w:type="dxa"/>
              <w:bottom w:w="60" w:type="dxa"/>
              <w:right w:w="90" w:type="dxa"/>
            </w:tcMar>
          </w:tcPr>
          <w:p>
            <w:pPr>
              <w:spacing w:before="0" w:after="0" w:line="252" w:lineRule="auto"/>
            </w:pPr>
            <w:r>
              <w:rPr>
                <w:rFonts w:ascii="Calibri" w:hAnsi="Calibri"/>
                <w:sz w:val="19"/>
              </w:rPr>
              <w:t>http://www.leg.state.fl.us/statutes/index.cfm?App_mode=Display_Statute&amp;URL=1000-1099/1006/Sections/1006.481.html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w:t>
            </w:r>
          </w:p>
        </w:tc>
        <w:tc>
          <w:tcPr>
            <w:tcW w:type="dxa" w:w="2244"/>
            <w:tcMar>
              <w:top w:w="50" w:type="dxa"/>
              <w:left w:w="90" w:type="dxa"/>
              <w:bottom w:w="60" w:type="dxa"/>
              <w:right w:w="90" w:type="dxa"/>
            </w:tcMar>
          </w:tcPr>
          <w:p>
            <w:pPr>
              <w:spacing w:before="0" w:after="0" w:line="252" w:lineRule="auto"/>
            </w:pPr>
            <w:r>
              <w:rPr>
                <w:rFonts w:ascii="Calibri" w:hAnsi="Calibri"/>
                <w:sz w:val="19"/>
              </w:rPr>
              <w:t>Free FLDOE curriculum; staff training and acknowledgment; reporting protocol to DCF or the Florida Human Trafficking Hotline (ch. 2025-65).</w:t>
            </w:r>
          </w:p>
        </w:tc>
        <w:tc>
          <w:tcPr>
            <w:tcW w:type="dxa" w:w="1559"/>
            <w:tcMar>
              <w:top w:w="50" w:type="dxa"/>
              <w:left w:w="90" w:type="dxa"/>
              <w:bottom w:w="60" w:type="dxa"/>
              <w:right w:w="90" w:type="dxa"/>
            </w:tcMar>
          </w:tcPr>
          <w:p>
            <w:pPr>
              <w:spacing w:before="0" w:after="0" w:line="252" w:lineRule="auto"/>
            </w:pPr>
            <w:r>
              <w:rPr>
                <w:rFonts w:ascii="Calibri" w:hAnsi="Calibri"/>
                <w:sz w:val="19"/>
              </w:rPr>
              <w:t>The training slides themselves.</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9</w:t>
            </w:r>
          </w:p>
        </w:tc>
        <w:tc>
          <w:tcPr>
            <w:tcW w:type="dxa" w:w="1061"/>
            <w:tcMar>
              <w:top w:w="50" w:type="dxa"/>
              <w:left w:w="90" w:type="dxa"/>
              <w:bottom w:w="60" w:type="dxa"/>
              <w:right w:w="90" w:type="dxa"/>
            </w:tcMar>
          </w:tcPr>
          <w:p>
            <w:pPr>
              <w:spacing w:before="0" w:after="0" w:line="252" w:lineRule="auto"/>
            </w:pPr>
            <w:r>
              <w:rPr>
                <w:rFonts w:ascii="Calibri" w:hAnsi="Calibri"/>
                <w:b/>
                <w:sz w:val="19"/>
              </w:rPr>
              <w:t>s. 787.06, F.S., Human trafficking</w:t>
            </w:r>
          </w:p>
        </w:tc>
        <w:tc>
          <w:tcPr>
            <w:tcW w:type="dxa" w:w="3531"/>
            <w:tcMar>
              <w:top w:w="50" w:type="dxa"/>
              <w:left w:w="90" w:type="dxa"/>
              <w:bottom w:w="60" w:type="dxa"/>
              <w:right w:w="90" w:type="dxa"/>
            </w:tcMar>
          </w:tcPr>
          <w:p>
            <w:pPr>
              <w:spacing w:before="0" w:after="0" w:line="252" w:lineRule="auto"/>
            </w:pPr>
            <w:r>
              <w:rPr>
                <w:rFonts w:ascii="Calibri" w:hAnsi="Calibri"/>
                <w:sz w:val="19"/>
              </w:rPr>
              <w:t>http://www.leg.state.fl.us/statutes/index.cfm?App_mode=Display_Statute&amp;URL=0700-0799/0787/Sections/0787.06.html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(opening findings only)</w:t>
            </w:r>
          </w:p>
        </w:tc>
        <w:tc>
          <w:tcPr>
            <w:tcW w:type="dxa" w:w="2244"/>
            <w:tcMar>
              <w:top w:w="50" w:type="dxa"/>
              <w:left w:w="90" w:type="dxa"/>
              <w:bottom w:w="60" w:type="dxa"/>
              <w:right w:w="90" w:type="dxa"/>
            </w:tcMar>
          </w:tcPr>
          <w:p>
            <w:pPr>
              <w:spacing w:before="0" w:after="0" w:line="252" w:lineRule="auto"/>
            </w:pPr>
            <w:r>
              <w:rPr>
                <w:rFonts w:ascii="Calibri" w:hAnsi="Calibri"/>
                <w:sz w:val="19"/>
              </w:rPr>
              <w:t>(1)(a)-(c) legislative findings: victims "are young children, teenagers, and adults"; "force, fraud, or coercion for the purpose of sexual exploitation or forced labor"; common techniques including isolating victims from family, taking identification, controlling funds, threats of arrest or deportation.</w:t>
            </w:r>
          </w:p>
        </w:tc>
        <w:tc>
          <w:tcPr>
            <w:tcW w:type="dxa" w:w="1559"/>
            <w:tcMar>
              <w:top w:w="50" w:type="dxa"/>
              <w:left w:w="90" w:type="dxa"/>
              <w:bottom w:w="60" w:type="dxa"/>
              <w:right w:w="90" w:type="dxa"/>
            </w:tcMar>
          </w:tcPr>
          <w:p>
            <w:pPr>
              <w:spacing w:before="0" w:after="0" w:line="252" w:lineRule="auto"/>
            </w:pPr>
            <w:r>
              <w:rPr>
                <w:rFonts w:ascii="Calibri" w:hAnsi="Calibri"/>
                <w:sz w:val="19"/>
              </w:rPr>
              <w:t>The statute's definitions section and penalties.</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10</w:t>
            </w:r>
          </w:p>
        </w:tc>
        <w:tc>
          <w:tcPr>
            <w:tcW w:type="dxa" w:w="1061"/>
            <w:tcMar>
              <w:top w:w="50" w:type="dxa"/>
              <w:left w:w="90" w:type="dxa"/>
              <w:bottom w:w="60" w:type="dxa"/>
              <w:right w:w="90" w:type="dxa"/>
            </w:tcMar>
          </w:tcPr>
          <w:p>
            <w:pPr>
              <w:spacing w:before="0" w:after="0" w:line="252" w:lineRule="auto"/>
            </w:pPr>
            <w:r>
              <w:rPr>
                <w:rFonts w:ascii="Calibri" w:hAnsi="Calibri"/>
                <w:b/>
                <w:sz w:val="19"/>
              </w:rPr>
              <w:t>s. 1006.147, F.S., Bullying and harassment prohibited</w:t>
            </w:r>
          </w:p>
        </w:tc>
        <w:tc>
          <w:tcPr>
            <w:tcW w:type="dxa" w:w="3531"/>
            <w:tcMar>
              <w:top w:w="50" w:type="dxa"/>
              <w:left w:w="90" w:type="dxa"/>
              <w:bottom w:w="60" w:type="dxa"/>
              <w:right w:w="90" w:type="dxa"/>
            </w:tcMar>
          </w:tcPr>
          <w:p>
            <w:pPr>
              <w:spacing w:before="0" w:after="0" w:line="252" w:lineRule="auto"/>
            </w:pPr>
            <w:r>
              <w:rPr>
                <w:rFonts w:ascii="Calibri" w:hAnsi="Calibri"/>
                <w:sz w:val="19"/>
              </w:rPr>
              <w:t>http://www.leg.state.fl.us/statutes/index.cfm?App_mode=Display_Statute&amp;URL=1000-1099/1006/Sections/1006.147.html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(opening and cyberbullying definition only)</w:t>
            </w:r>
          </w:p>
        </w:tc>
        <w:tc>
          <w:tcPr>
            <w:tcW w:type="dxa" w:w="2244"/>
            <w:tcMar>
              <w:top w:w="50" w:type="dxa"/>
              <w:left w:w="90" w:type="dxa"/>
              <w:bottom w:w="60" w:type="dxa"/>
              <w:right w:w="90" w:type="dxa"/>
            </w:tcMar>
          </w:tcPr>
          <w:p>
            <w:pPr>
              <w:spacing w:before="0" w:after="0" w:line="252" w:lineRule="auto"/>
            </w:pPr>
            <w:r>
              <w:rPr>
                <w:rFonts w:ascii="Calibri" w:hAnsi="Calibri"/>
                <w:sz w:val="19"/>
              </w:rPr>
              <w:t>Title; "Cyberbullying" definition (bullying through the use of technology or any electronic communication).</w:t>
            </w:r>
          </w:p>
        </w:tc>
        <w:tc>
          <w:tcPr>
            <w:tcW w:type="dxa" w:w="1559"/>
            <w:tcMar>
              <w:top w:w="50" w:type="dxa"/>
              <w:left w:w="90" w:type="dxa"/>
              <w:bottom w:w="60" w:type="dxa"/>
              <w:right w:w="90" w:type="dxa"/>
            </w:tcMar>
          </w:tcPr>
          <w:p>
            <w:pPr>
              <w:spacing w:before="0" w:after="0" w:line="252" w:lineRule="auto"/>
            </w:pPr>
            <w:r>
              <w:rPr>
                <w:rFonts w:ascii="Calibri" w:hAnsi="Calibri"/>
                <w:sz w:val="19"/>
              </w:rPr>
              <w:t>The full policy requirements and the exact reach to off-campus conduct. [VERIFY]</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11</w:t>
            </w:r>
          </w:p>
        </w:tc>
        <w:tc>
          <w:tcPr>
            <w:tcW w:type="dxa" w:w="1061"/>
            <w:tcMar>
              <w:top w:w="50" w:type="dxa"/>
              <w:left w:w="90" w:type="dxa"/>
              <w:bottom w:w="60" w:type="dxa"/>
              <w:right w:w="90" w:type="dxa"/>
            </w:tcMar>
          </w:tcPr>
          <w:p>
            <w:pPr>
              <w:spacing w:before="0" w:after="0" w:line="252" w:lineRule="auto"/>
            </w:pPr>
            <w:r>
              <w:rPr>
                <w:rFonts w:ascii="Calibri" w:hAnsi="Calibri"/>
                <w:b/>
                <w:sz w:val="19"/>
              </w:rPr>
              <w:t>ss. 1006.29(2), 1006.283, 1006.28, F.S.</w:t>
            </w:r>
            <w:r>
              <w:rPr>
                <w:rFonts w:ascii="Calibri" w:hAnsi="Calibri"/>
                <w:sz w:val="19"/>
              </w:rPr>
              <w:t>, instructional materials</w:t>
            </w:r>
          </w:p>
        </w:tc>
        <w:tc>
          <w:tcPr>
            <w:tcW w:type="dxa" w:w="3531"/>
            <w:tcMar>
              <w:top w:w="50" w:type="dxa"/>
              <w:left w:w="90" w:type="dxa"/>
              <w:bottom w:w="60" w:type="dxa"/>
              <w:right w:w="90" w:type="dxa"/>
            </w:tcMar>
          </w:tcPr>
          <w:p>
            <w:pPr>
              <w:spacing w:before="0" w:after="0" w:line="252" w:lineRule="auto"/>
            </w:pPr>
            <w:r>
              <w:rPr>
                <w:rFonts w:ascii="Calibri" w:hAnsi="Calibri"/>
                <w:sz w:val="19"/>
              </w:rPr>
              <w:t>http://www.leg.state.fl.us/statutes/index.cfm?App_mode=Display_Statute&amp;URL=1000-1099/1006/Sections/1006.283.html (also 1006.29.html, 1006.28.html)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(relevant parts)</w:t>
            </w:r>
          </w:p>
        </w:tc>
        <w:tc>
          <w:tcPr>
            <w:tcW w:type="dxa" w:w="2244"/>
            <w:tcMar>
              <w:top w:w="50" w:type="dxa"/>
              <w:left w:w="90" w:type="dxa"/>
              <w:bottom w:w="60" w:type="dxa"/>
              <w:right w:w="90" w:type="dxa"/>
            </w:tcMar>
          </w:tcPr>
          <w:p>
            <w:pPr>
              <w:spacing w:before="0" w:after="0" w:line="252" w:lineRule="auto"/>
            </w:pPr>
            <w:r>
              <w:rPr>
                <w:rFonts w:ascii="Calibri" w:hAnsi="Calibri"/>
                <w:sz w:val="19"/>
              </w:rPr>
              <w:t>Definition of "instructional materials" (1006.29(2)); district review program, reviewers (some must be parents), 20-day public access, hearing and meeting, parent notice of local access (1006.283(2)).</w:t>
            </w:r>
          </w:p>
        </w:tc>
        <w:tc>
          <w:tcPr>
            <w:tcW w:type="dxa" w:w="1559"/>
            <w:tcMar>
              <w:top w:w="50" w:type="dxa"/>
              <w:left w:w="90" w:type="dxa"/>
              <w:bottom w:w="60" w:type="dxa"/>
              <w:right w:w="90" w:type="dxa"/>
            </w:tcMar>
          </w:tcPr>
          <w:p>
            <w:pPr>
              <w:spacing w:before="0" w:after="0" w:line="252" w:lineRule="auto"/>
            </w:pPr>
            <w:r>
              <w:rPr>
                <w:rFonts w:ascii="Calibri" w:hAnsi="Calibri"/>
                <w:sz w:val="19"/>
              </w:rPr>
              <w:t>Whether a free supplemental kit falls in the definition; how a district treats supplemental materials. [VERIFY with counsel]</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12</w:t>
            </w:r>
          </w:p>
        </w:tc>
        <w:tc>
          <w:tcPr>
            <w:tcW w:type="dxa" w:w="1061"/>
            <w:tcMar>
              <w:top w:w="50" w:type="dxa"/>
              <w:left w:w="90" w:type="dxa"/>
              <w:bottom w:w="60" w:type="dxa"/>
              <w:right w:w="90" w:type="dxa"/>
            </w:tcMar>
          </w:tcPr>
          <w:p>
            <w:pPr>
              <w:spacing w:before="0" w:after="0" w:line="252" w:lineRule="auto"/>
            </w:pPr>
            <w:r>
              <w:rPr>
                <w:rFonts w:ascii="Calibri" w:hAnsi="Calibri"/>
                <w:b/>
                <w:sz w:val="19"/>
              </w:rPr>
              <w:t>Rule 6A-1.094124, F.A.C., Required Instruction Planning and Reporting</w:t>
            </w:r>
          </w:p>
        </w:tc>
        <w:tc>
          <w:tcPr>
            <w:tcW w:type="dxa" w:w="3531"/>
            <w:tcMar>
              <w:top w:w="50" w:type="dxa"/>
              <w:left w:w="90" w:type="dxa"/>
              <w:bottom w:w="60" w:type="dxa"/>
              <w:right w:w="90" w:type="dxa"/>
            </w:tcMar>
          </w:tcPr>
          <w:p>
            <w:pPr>
              <w:spacing w:before="0" w:after="0" w:line="252" w:lineRule="auto"/>
            </w:pPr>
            <w:r>
              <w:rPr>
                <w:rFonts w:ascii="Calibri" w:hAnsi="Calibri"/>
                <w:sz w:val="19"/>
              </w:rPr>
              <w:t>https://flrules.org/gateway/ruleNo.asp?id=6A-1.094124 (rule text via the rule's Word file linked from that page)</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(page in browser; rule text from the .doc)</w:t>
            </w:r>
          </w:p>
        </w:tc>
        <w:tc>
          <w:tcPr>
            <w:tcW w:type="dxa" w:w="2244"/>
            <w:tcMar>
              <w:top w:w="50" w:type="dxa"/>
              <w:left w:w="90" w:type="dxa"/>
              <w:bottom w:w="60" w:type="dxa"/>
              <w:right w:w="90" w:type="dxa"/>
            </w:tcMar>
          </w:tcPr>
          <w:p>
            <w:pPr>
              <w:spacing w:before="0" w:after="0" w:line="252" w:lineRule="auto"/>
            </w:pPr>
            <w:r>
              <w:rPr>
                <w:rFonts w:ascii="Calibri" w:hAnsi="Calibri"/>
                <w:sz w:val="19"/>
              </w:rPr>
              <w:t>Effective 8/25/2026; (1) plan due annually by July 1 through https://districts.flimadoption.org for topics in s. 1003.42(2)(a)-(o) and (q)-(w); (2) plan contents; (4) resiliency education, minimum five hours for grades 6-12; (6) child trafficking prevention education for K-12 and the five required topics, and FLDOE's trafficking webpage; (8) 45-day revision; (9) sanctions under s. 1008.32.</w:t>
            </w:r>
          </w:p>
        </w:tc>
        <w:tc>
          <w:tcPr>
            <w:tcW w:type="dxa" w:w="1559"/>
            <w:tcMar>
              <w:top w:w="50" w:type="dxa"/>
              <w:left w:w="90" w:type="dxa"/>
              <w:bottom w:w="60" w:type="dxa"/>
              <w:right w:w="90" w:type="dxa"/>
            </w:tcMar>
          </w:tcPr>
          <w:p>
            <w:pPr>
              <w:spacing w:before="0" w:after="0" w:line="252" w:lineRule="auto"/>
            </w:pPr>
            <w:r>
              <w:rPr>
                <w:rFonts w:ascii="Calibri" w:hAnsi="Calibri"/>
                <w:sz w:val="19"/>
              </w:rPr>
              <w:t>Form RI-1; the plan template.</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13</w:t>
            </w:r>
          </w:p>
        </w:tc>
        <w:tc>
          <w:tcPr>
            <w:tcW w:type="dxa" w:w="1061"/>
            <w:tcMar>
              <w:top w:w="50" w:type="dxa"/>
              <w:left w:w="90" w:type="dxa"/>
              <w:bottom w:w="60" w:type="dxa"/>
              <w:right w:w="90" w:type="dxa"/>
            </w:tcMar>
          </w:tcPr>
          <w:p>
            <w:pPr>
              <w:spacing w:before="0" w:after="0" w:line="252" w:lineRule="auto"/>
            </w:pPr>
            <w:r>
              <w:rPr>
                <w:rFonts w:ascii="Calibri" w:hAnsi="Calibri"/>
                <w:b/>
                <w:sz w:val="19"/>
              </w:rPr>
              <w:t>FLDOE, Effects of Social Media</w:t>
            </w:r>
          </w:p>
        </w:tc>
        <w:tc>
          <w:tcPr>
            <w:tcW w:type="dxa" w:w="3531"/>
            <w:tcMar>
              <w:top w:w="50" w:type="dxa"/>
              <w:left w:w="90" w:type="dxa"/>
              <w:bottom w:w="60" w:type="dxa"/>
              <w:right w:w="90" w:type="dxa"/>
            </w:tcMar>
          </w:tcPr>
          <w:p>
            <w:pPr>
              <w:spacing w:before="0" w:after="0" w:line="252" w:lineRule="auto"/>
            </w:pPr>
            <w:r>
              <w:rPr>
                <w:rFonts w:ascii="Calibri" w:hAnsi="Calibri"/>
                <w:sz w:val="19"/>
              </w:rPr>
              <w:t>https://www.fldoe.org/academics/standards/instructional-materials/effects-sm.stml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in the built-in browser (full page text and link list)</w:t>
            </w:r>
          </w:p>
        </w:tc>
        <w:tc>
          <w:tcPr>
            <w:tcW w:type="dxa" w:w="2244"/>
            <w:tcMar>
              <w:top w:w="50" w:type="dxa"/>
              <w:left w:w="90" w:type="dxa"/>
              <w:bottom w:w="60" w:type="dxa"/>
              <w:right w:w="90" w:type="dxa"/>
            </w:tcMar>
          </w:tcPr>
          <w:p>
            <w:pPr>
              <w:spacing w:before="0" w:after="0" w:line="252" w:lineRule="auto"/>
            </w:pPr>
            <w:r>
              <w:rPr>
                <w:rFonts w:ascii="Calibri" w:hAnsi="Calibri"/>
                <w:sz w:val="19"/>
              </w:rPr>
              <w:t>Cites HB 379 and s. 1003.42(2)(o)5.a.; links to the Instructional Guide (Word) and "A Student's Guide to Internet Safety" (PDF); describes the guide structure; district responsibilities (provide instruction; notify parents; notification accessible on district website homepage); cites "Section 1003.42(6)" (appears to be the wrong subsection); related statutes and Rule 6A-1.094124; contacts (RequiredInstruction@fldoe.org; 850-245-0423); says family resources are "being developed."</w:t>
            </w:r>
          </w:p>
        </w:tc>
        <w:tc>
          <w:tcPr>
            <w:tcW w:type="dxa" w:w="1559"/>
            <w:tcMar>
              <w:top w:w="50" w:type="dxa"/>
              <w:left w:w="90" w:type="dxa"/>
              <w:bottom w:w="60" w:type="dxa"/>
              <w:right w:w="90" w:type="dxa"/>
            </w:tcMar>
          </w:tcPr>
          <w:p>
            <w:pPr>
              <w:spacing w:before="0" w:after="0" w:line="252" w:lineRule="auto"/>
            </w:pPr>
            <w:r>
              <w:rPr>
                <w:rFonts w:ascii="Calibri" w:hAnsi="Calibri"/>
                <w:sz w:val="19"/>
              </w:rPr>
              <w:t>Dates of last update.</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14</w:t>
            </w:r>
          </w:p>
        </w:tc>
        <w:tc>
          <w:tcPr>
            <w:tcW w:type="dxa" w:w="1061"/>
            <w:tcMar>
              <w:top w:w="50" w:type="dxa"/>
              <w:left w:w="90" w:type="dxa"/>
              <w:bottom w:w="60" w:type="dxa"/>
              <w:right w:w="90" w:type="dxa"/>
            </w:tcMar>
          </w:tcPr>
          <w:p>
            <w:pPr>
              <w:spacing w:before="0" w:after="0" w:line="252" w:lineRule="auto"/>
            </w:pPr>
            <w:r>
              <w:rPr>
                <w:rFonts w:ascii="Calibri" w:hAnsi="Calibri"/>
                <w:b/>
                <w:sz w:val="19"/>
              </w:rPr>
              <w:t>FLDOE Effects of Social Media Instructional Guide (Word)</w:t>
            </w:r>
          </w:p>
        </w:tc>
        <w:tc>
          <w:tcPr>
            <w:tcW w:type="dxa" w:w="3531"/>
            <w:tcMar>
              <w:top w:w="50" w:type="dxa"/>
              <w:left w:w="90" w:type="dxa"/>
              <w:bottom w:w="60" w:type="dxa"/>
              <w:right w:w="90" w:type="dxa"/>
            </w:tcMar>
          </w:tcPr>
          <w:p>
            <w:pPr>
              <w:spacing w:before="0" w:after="0" w:line="252" w:lineRule="auto"/>
            </w:pPr>
            <w:r>
              <w:rPr>
                <w:rFonts w:ascii="Calibri" w:hAnsi="Calibri"/>
                <w:sz w:val="19"/>
              </w:rPr>
              <w:t>https://www.fldoe.org/file/5574/EffectsSocialMedia-IG.docx</w:t>
            </w:r>
          </w:p>
        </w:tc>
        <w:tc>
          <w:tcPr>
            <w:tcW w:type="dxa" w:w="1044"/>
            <w:tcMar>
              <w:top w:w="50" w:type="dxa"/>
              <w:left w:w="90" w:type="dxa"/>
              <w:bottom w:w="60" w:type="dxa"/>
              <w:right w:w="90" w:type="dxa"/>
            </w:tcMar>
          </w:tcPr>
          <w:p>
            <w:pPr>
              <w:spacing w:before="0" w:after="0" w:line="252" w:lineRule="auto"/>
            </w:pPr>
            <w:r>
              <w:rPr>
                <w:rFonts w:ascii="Calibri" w:hAnsi="Calibri"/>
                <w:sz w:val="19"/>
              </w:rPr>
              <w:t>Read in part: the document text was extracted inside the browser; the file was not saved to disk</w:t>
            </w:r>
          </w:p>
        </w:tc>
        <w:tc>
          <w:tcPr>
            <w:tcW w:type="dxa" w:w="2244"/>
            <w:tcMar>
              <w:top w:w="50" w:type="dxa"/>
              <w:left w:w="90" w:type="dxa"/>
              <w:bottom w:w="60" w:type="dxa"/>
              <w:right w:w="90" w:type="dxa"/>
            </w:tcMar>
          </w:tcPr>
          <w:p>
            <w:pPr>
              <w:spacing w:before="0" w:after="0" w:line="252" w:lineRule="auto"/>
            </w:pPr>
            <w:r>
              <w:rPr>
                <w:rFonts w:ascii="Calibri" w:hAnsi="Calibri"/>
                <w:sz w:val="19"/>
              </w:rPr>
              <w:t>Table of contents (benchmarks by strand); component list; statement that components "can be taught at any grade level or within any course"; benchmark statements, clarifications and examples for HE.6/7/8/912 PHC, CEH and CH; Appendix B resource list (FLDOE bullying prevention; Healthy Schools human trafficking; The Facts. Your Future.; teen dating violence; Resiliency Florida; suicide prevention).</w:t>
            </w:r>
          </w:p>
        </w:tc>
        <w:tc>
          <w:tcPr>
            <w:tcW w:type="dxa" w:w="1559"/>
            <w:tcMar>
              <w:top w:w="50" w:type="dxa"/>
              <w:left w:w="90" w:type="dxa"/>
              <w:bottom w:w="60" w:type="dxa"/>
              <w:right w:w="90" w:type="dxa"/>
            </w:tcMar>
          </w:tcPr>
          <w:p>
            <w:pPr>
              <w:spacing w:before="0" w:after="0" w:line="252" w:lineRule="auto"/>
            </w:pPr>
            <w:r>
              <w:rPr>
                <w:rFonts w:ascii="Calibri" w:hAnsi="Calibri"/>
                <w:sz w:val="19"/>
              </w:rPr>
              <w:t>Computer science benchmarks, glossary (Appendix A) and every page of instructional strategies and tasks.</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15</w:t>
            </w:r>
          </w:p>
        </w:tc>
        <w:tc>
          <w:tcPr>
            <w:tcW w:type="dxa" w:w="1061"/>
            <w:tcMar>
              <w:top w:w="50" w:type="dxa"/>
              <w:left w:w="90" w:type="dxa"/>
              <w:bottom w:w="60" w:type="dxa"/>
              <w:right w:w="90" w:type="dxa"/>
            </w:tcMar>
          </w:tcPr>
          <w:p>
            <w:pPr>
              <w:spacing w:before="0" w:after="0" w:line="252" w:lineRule="auto"/>
            </w:pPr>
            <w:r>
              <w:rPr>
                <w:rFonts w:ascii="Calibri" w:hAnsi="Calibri"/>
                <w:b/>
                <w:sz w:val="19"/>
              </w:rPr>
              <w:t>FLDOE, Required Instruction</w:t>
            </w:r>
          </w:p>
        </w:tc>
        <w:tc>
          <w:tcPr>
            <w:tcW w:type="dxa" w:w="3531"/>
            <w:tcMar>
              <w:top w:w="50" w:type="dxa"/>
              <w:left w:w="90" w:type="dxa"/>
              <w:bottom w:w="60" w:type="dxa"/>
              <w:right w:w="90" w:type="dxa"/>
            </w:tcMar>
          </w:tcPr>
          <w:p>
            <w:pPr>
              <w:spacing w:before="0" w:after="0" w:line="252" w:lineRule="auto"/>
            </w:pPr>
            <w:r>
              <w:rPr>
                <w:rFonts w:ascii="Calibri" w:hAnsi="Calibri"/>
                <w:sz w:val="19"/>
              </w:rPr>
              <w:t>https://www.fldoe.org/academics/standards/instructional-materials/required-instr.stml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in the built-in browser</w:t>
            </w:r>
          </w:p>
        </w:tc>
        <w:tc>
          <w:tcPr>
            <w:tcW w:type="dxa" w:w="2244"/>
            <w:tcMar>
              <w:top w:w="50" w:type="dxa"/>
              <w:left w:w="90" w:type="dxa"/>
              <w:bottom w:w="60" w:type="dxa"/>
              <w:right w:w="90" w:type="dxa"/>
            </w:tcMar>
          </w:tcPr>
          <w:p>
            <w:pPr>
              <w:spacing w:before="0" w:after="0" w:line="252" w:lineRule="auto"/>
            </w:pPr>
            <w:r>
              <w:rPr>
                <w:rFonts w:ascii="Calibri" w:hAnsi="Calibri"/>
                <w:sz w:val="19"/>
              </w:rPr>
              <w:t>Annual plan by July 1; portal; template link (info.fldoe.org docushare Document-10955, 2026-52A.pdf); Benchmark Alignment Guide links; FAQ (who submits; template may be expanded but must keep structure); contact (850-245-0886).</w:t>
            </w:r>
          </w:p>
        </w:tc>
        <w:tc>
          <w:tcPr>
            <w:tcW w:type="dxa" w:w="1559"/>
            <w:tcMar>
              <w:top w:w="50" w:type="dxa"/>
              <w:left w:w="90" w:type="dxa"/>
              <w:bottom w:w="60" w:type="dxa"/>
              <w:right w:w="90" w:type="dxa"/>
            </w:tcMar>
          </w:tcPr>
          <w:p>
            <w:pPr>
              <w:spacing w:before="0" w:after="0" w:line="252" w:lineRule="auto"/>
            </w:pPr>
            <w:r>
              <w:rPr>
                <w:rFonts w:ascii="Calibri" w:hAnsi="Calibri"/>
                <w:sz w:val="19"/>
              </w:rPr>
              <w:t>The template and alignment guide themselves.</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16</w:t>
            </w:r>
          </w:p>
        </w:tc>
        <w:tc>
          <w:tcPr>
            <w:tcW w:type="dxa" w:w="1061"/>
            <w:tcMar>
              <w:top w:w="50" w:type="dxa"/>
              <w:left w:w="90" w:type="dxa"/>
              <w:bottom w:w="60" w:type="dxa"/>
              <w:right w:w="90" w:type="dxa"/>
            </w:tcMar>
          </w:tcPr>
          <w:p>
            <w:pPr>
              <w:spacing w:before="0" w:after="0" w:line="252" w:lineRule="auto"/>
            </w:pPr>
            <w:r>
              <w:rPr>
                <w:rFonts w:ascii="Calibri" w:hAnsi="Calibri"/>
                <w:b/>
                <w:sz w:val="19"/>
              </w:rPr>
              <w:t>FLDOE, Human Trafficking</w:t>
            </w:r>
          </w:p>
        </w:tc>
        <w:tc>
          <w:tcPr>
            <w:tcW w:type="dxa" w:w="3531"/>
            <w:tcMar>
              <w:top w:w="50" w:type="dxa"/>
              <w:left w:w="90" w:type="dxa"/>
              <w:bottom w:w="60" w:type="dxa"/>
              <w:right w:w="90" w:type="dxa"/>
            </w:tcMar>
          </w:tcPr>
          <w:p>
            <w:pPr>
              <w:spacing w:before="0" w:after="0" w:line="252" w:lineRule="auto"/>
            </w:pPr>
            <w:r>
              <w:rPr>
                <w:rFonts w:ascii="Calibri" w:hAnsi="Calibri"/>
                <w:sz w:val="19"/>
              </w:rPr>
              <w:t>https://www.fldoe.org/schools/healthy-schools/human-trafficking.stml</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in the built-in browser</w:t>
            </w:r>
          </w:p>
        </w:tc>
        <w:tc>
          <w:tcPr>
            <w:tcW w:type="dxa" w:w="2244"/>
            <w:tcMar>
              <w:top w:w="50" w:type="dxa"/>
              <w:left w:w="90" w:type="dxa"/>
              <w:bottom w:w="60" w:type="dxa"/>
              <w:right w:w="90" w:type="dxa"/>
            </w:tcMar>
          </w:tcPr>
          <w:p>
            <w:pPr>
              <w:spacing w:before="0" w:after="0" w:line="252" w:lineRule="auto"/>
            </w:pPr>
            <w:r>
              <w:rPr>
                <w:rFonts w:ascii="Calibri" w:hAnsi="Calibri"/>
                <w:sz w:val="19"/>
              </w:rPr>
              <w:t>HB 1237 (2025) became law July 1, 2025 and created s. 1006.481; staff training; student instruction per Rule 6A-1.094124 for K-12; five required topics; reporting channels: Florida Abuse Hotline 1-800-96-ABUSE (1-800-962-2873), Florida Human Trafficking Hotline 1-855-FLA-SAFE (1-855-352-7233), 911.</w:t>
            </w:r>
          </w:p>
        </w:tc>
        <w:tc>
          <w:tcPr>
            <w:tcW w:type="dxa" w:w="1559"/>
            <w:tcMar>
              <w:top w:w="50" w:type="dxa"/>
              <w:left w:w="90" w:type="dxa"/>
              <w:bottom w:w="60" w:type="dxa"/>
              <w:right w:w="90" w:type="dxa"/>
            </w:tcMar>
          </w:tcPr>
          <w:p>
            <w:pPr>
              <w:spacing w:before="0" w:after="0" w:line="252" w:lineRule="auto"/>
            </w:pPr>
            <w:r>
              <w:rPr>
                <w:rFonts w:ascii="Calibri" w:hAnsi="Calibri"/>
                <w:sz w:val="19"/>
              </w:rPr>
              <w:t>The linked training memo and slides.</w:t>
            </w:r>
          </w:p>
        </w:tc>
      </w:tr>
      <w:tr>
        <w:trPr>
          <w:cantSplit/>
          <w:trHeight w:val="432"/>
        </w:trPr>
        <w:tc>
          <w:tcPr>
            <w:tcW w:type="dxa" w:w="353"/>
            <w:tcMar>
              <w:top w:w="50" w:type="dxa"/>
              <w:left w:w="0" w:type="dxa"/>
              <w:bottom w:w="60" w:type="dxa"/>
              <w:right w:w="90" w:type="dxa"/>
            </w:tcMar>
          </w:tcPr>
          <w:p>
            <w:pPr>
              <w:spacing w:before="0" w:after="0" w:line="252" w:lineRule="auto"/>
            </w:pPr>
            <w:r>
              <w:rPr>
                <w:rFonts w:ascii="Calibri" w:hAnsi="Calibri"/>
                <w:sz w:val="19"/>
              </w:rPr>
              <w:t>17</w:t>
            </w:r>
          </w:p>
        </w:tc>
        <w:tc>
          <w:tcPr>
            <w:tcW w:type="dxa" w:w="1061"/>
            <w:tcMar>
              <w:top w:w="50" w:type="dxa"/>
              <w:left w:w="90" w:type="dxa"/>
              <w:bottom w:w="60" w:type="dxa"/>
              <w:right w:w="90" w:type="dxa"/>
            </w:tcMar>
          </w:tcPr>
          <w:p>
            <w:pPr>
              <w:spacing w:before="0" w:after="0" w:line="252" w:lineRule="auto"/>
            </w:pPr>
            <w:r>
              <w:rPr>
                <w:rFonts w:ascii="Calibri" w:hAnsi="Calibri"/>
                <w:b/>
                <w:sz w:val="19"/>
              </w:rPr>
              <w:t>Florida Abuse Hotline (DCF)</w:t>
            </w:r>
          </w:p>
        </w:tc>
        <w:tc>
          <w:tcPr>
            <w:tcW w:type="dxa" w:w="3531"/>
            <w:tcMar>
              <w:top w:w="50" w:type="dxa"/>
              <w:left w:w="90" w:type="dxa"/>
              <w:bottom w:w="60" w:type="dxa"/>
              <w:right w:w="90" w:type="dxa"/>
            </w:tcMar>
          </w:tcPr>
          <w:p>
            <w:pPr>
              <w:spacing w:before="0" w:after="0" w:line="252" w:lineRule="auto"/>
            </w:pPr>
            <w:r>
              <w:rPr>
                <w:rFonts w:ascii="Calibri" w:hAnsi="Calibri"/>
                <w:sz w:val="19"/>
              </w:rPr>
              <w:t>https://www.myflfamilies.com/services/abuse/abuse-hotline</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in the built-in browser</w:t>
            </w:r>
          </w:p>
        </w:tc>
        <w:tc>
          <w:tcPr>
            <w:tcW w:type="dxa" w:w="2244"/>
            <w:tcMar>
              <w:top w:w="50" w:type="dxa"/>
              <w:left w:w="90" w:type="dxa"/>
              <w:bottom w:w="60" w:type="dxa"/>
              <w:right w:w="90" w:type="dxa"/>
            </w:tcMar>
          </w:tcPr>
          <w:p>
            <w:pPr>
              <w:spacing w:before="0" w:after="0" w:line="252" w:lineRule="auto"/>
            </w:pPr>
            <w:r>
              <w:rPr>
                <w:rFonts w:ascii="Calibri" w:hAnsi="Calibri"/>
                <w:sz w:val="19"/>
              </w:rPr>
              <w:t>1-800-962-2873; 24 hours a day, 7 days a week; online reporting exists.</w:t>
            </w:r>
          </w:p>
        </w:tc>
        <w:tc>
          <w:tcPr>
            <w:tcW w:type="dxa" w:w="1559"/>
            <w:tcMar>
              <w:top w:w="50" w:type="dxa"/>
              <w:left w:w="90" w:type="dxa"/>
              <w:bottom w:w="60" w:type="dxa"/>
              <w:right w:w="90" w:type="dxa"/>
            </w:tcMar>
          </w:tcPr>
          <w:p>
            <w:pPr>
              <w:spacing w:before="0" w:after="0" w:line="252" w:lineRule="auto"/>
            </w:pPr>
          </w:p>
        </w:tc>
      </w:tr>
      <w:tr>
        <w:trPr>
          <w:cantSplit/>
          <w:trHeight w:val="432"/>
        </w:trPr>
        <w:tc>
          <w:tcPr>
            <w:tcW w:type="dxa" w:w="353"/>
            <w:tcMar>
              <w:top w:w="50" w:type="dxa"/>
              <w:left w:w="0" w:type="dxa"/>
              <w:bottom w:w="60" w:type="dxa"/>
              <w:right w:w="90" w:type="dxa"/>
            </w:tcMar>
          </w:tcPr>
          <w:p>
            <w:pPr>
              <w:spacing w:before="0" w:after="0" w:line="252" w:lineRule="auto"/>
            </w:pPr>
            <w:r>
              <w:rPr>
                <w:rFonts w:ascii="Calibri" w:hAnsi="Calibri"/>
                <w:sz w:val="19"/>
              </w:rPr>
              <w:t>18</w:t>
            </w:r>
          </w:p>
        </w:tc>
        <w:tc>
          <w:tcPr>
            <w:tcW w:type="dxa" w:w="1061"/>
            <w:tcMar>
              <w:top w:w="50" w:type="dxa"/>
              <w:left w:w="90" w:type="dxa"/>
              <w:bottom w:w="60" w:type="dxa"/>
              <w:right w:w="90" w:type="dxa"/>
            </w:tcMar>
          </w:tcPr>
          <w:p>
            <w:pPr>
              <w:spacing w:before="0" w:after="0" w:line="252" w:lineRule="auto"/>
            </w:pPr>
            <w:r>
              <w:rPr>
                <w:rFonts w:ascii="Calibri" w:hAnsi="Calibri"/>
                <w:b/>
                <w:sz w:val="19"/>
              </w:rPr>
              <w:t>FDLE, Florida Human Trafficking Hotline</w:t>
            </w:r>
          </w:p>
        </w:tc>
        <w:tc>
          <w:tcPr>
            <w:tcW w:type="dxa" w:w="3531"/>
            <w:tcMar>
              <w:top w:w="50" w:type="dxa"/>
              <w:left w:w="90" w:type="dxa"/>
              <w:bottom w:w="60" w:type="dxa"/>
              <w:right w:w="90" w:type="dxa"/>
            </w:tcMar>
          </w:tcPr>
          <w:p>
            <w:pPr>
              <w:spacing w:before="0" w:after="0" w:line="252" w:lineRule="auto"/>
            </w:pPr>
            <w:r>
              <w:rPr>
                <w:rFonts w:ascii="Calibri" w:hAnsi="Calibri"/>
                <w:sz w:val="19"/>
              </w:rPr>
              <w:t>https://www.fdle.state.fl.us/Florida-Human-Trafficking-Hotline.aspx</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in the built-in browser</w:t>
            </w:r>
          </w:p>
        </w:tc>
        <w:tc>
          <w:tcPr>
            <w:tcW w:type="dxa" w:w="2244"/>
            <w:tcMar>
              <w:top w:w="50" w:type="dxa"/>
              <w:left w:w="90" w:type="dxa"/>
              <w:bottom w:w="60" w:type="dxa"/>
              <w:right w:w="90" w:type="dxa"/>
            </w:tcMar>
          </w:tcPr>
          <w:p>
            <w:pPr>
              <w:spacing w:before="0" w:after="0" w:line="252" w:lineRule="auto"/>
            </w:pPr>
            <w:r>
              <w:rPr>
                <w:rFonts w:ascii="Calibri" w:hAnsi="Calibri"/>
                <w:sz w:val="19"/>
              </w:rPr>
              <w:t>1-855-FLA-SAFE (1-855-352-7233); victims "include children and adults."</w:t>
            </w:r>
          </w:p>
        </w:tc>
        <w:tc>
          <w:tcPr>
            <w:tcW w:type="dxa" w:w="1559"/>
            <w:tcMar>
              <w:top w:w="50" w:type="dxa"/>
              <w:left w:w="90" w:type="dxa"/>
              <w:bottom w:w="60" w:type="dxa"/>
              <w:right w:w="90" w:type="dxa"/>
            </w:tcMar>
          </w:tcPr>
          <w:p>
            <w:pPr>
              <w:spacing w:before="0" w:after="0" w:line="252" w:lineRule="auto"/>
            </w:pP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19</w:t>
            </w:r>
          </w:p>
        </w:tc>
        <w:tc>
          <w:tcPr>
            <w:tcW w:type="dxa" w:w="1061"/>
            <w:tcMar>
              <w:top w:w="50" w:type="dxa"/>
              <w:left w:w="90" w:type="dxa"/>
              <w:bottom w:w="60" w:type="dxa"/>
              <w:right w:w="90" w:type="dxa"/>
            </w:tcMar>
          </w:tcPr>
          <w:p>
            <w:pPr>
              <w:spacing w:before="0" w:after="0" w:line="252" w:lineRule="auto"/>
            </w:pPr>
            <w:r>
              <w:rPr>
                <w:rFonts w:ascii="Calibri" w:hAnsi="Calibri"/>
                <w:b/>
                <w:sz w:val="19"/>
              </w:rPr>
              <w:t>Florida Attorney General, Human Trafficking Prevention and Awareness</w:t>
            </w:r>
          </w:p>
        </w:tc>
        <w:tc>
          <w:tcPr>
            <w:tcW w:type="dxa" w:w="3531"/>
            <w:tcMar>
              <w:top w:w="50" w:type="dxa"/>
              <w:left w:w="90" w:type="dxa"/>
              <w:bottom w:w="60" w:type="dxa"/>
              <w:right w:w="90" w:type="dxa"/>
            </w:tcMar>
          </w:tcPr>
          <w:p>
            <w:pPr>
              <w:spacing w:before="0" w:after="0" w:line="252" w:lineRule="auto"/>
            </w:pPr>
            <w:r>
              <w:rPr>
                <w:rFonts w:ascii="Calibri" w:hAnsi="Calibri"/>
                <w:sz w:val="19"/>
              </w:rPr>
              <w:t>https://www.myfloridalegal.com/human-trafficking</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in the built-in browser</w:t>
            </w:r>
          </w:p>
        </w:tc>
        <w:tc>
          <w:tcPr>
            <w:tcW w:type="dxa" w:w="2244"/>
            <w:tcMar>
              <w:top w:w="50" w:type="dxa"/>
              <w:left w:w="90" w:type="dxa"/>
              <w:bottom w:w="60" w:type="dxa"/>
              <w:right w:w="90" w:type="dxa"/>
            </w:tcMar>
          </w:tcPr>
          <w:p>
            <w:pPr>
              <w:spacing w:before="0" w:after="0" w:line="252" w:lineRule="auto"/>
            </w:pPr>
            <w:r>
              <w:rPr>
                <w:rFonts w:ascii="Calibri" w:hAnsi="Calibri"/>
                <w:sz w:val="19"/>
              </w:rPr>
              <w:t>Report to law enforcement at 1-855-FLA-SAFE; page lists an Online Safety Toolkit and YouCanStopHT.com.</w:t>
            </w:r>
          </w:p>
        </w:tc>
        <w:tc>
          <w:tcPr>
            <w:tcW w:type="dxa" w:w="1559"/>
            <w:tcMar>
              <w:top w:w="50" w:type="dxa"/>
              <w:left w:w="90" w:type="dxa"/>
              <w:bottom w:w="60" w:type="dxa"/>
              <w:right w:w="90" w:type="dxa"/>
            </w:tcMar>
          </w:tcPr>
          <w:p>
            <w:pPr>
              <w:spacing w:before="0" w:after="0" w:line="252" w:lineRule="auto"/>
            </w:pPr>
            <w:r>
              <w:rPr>
                <w:rFonts w:ascii="Calibri" w:hAnsi="Calibri"/>
                <w:sz w:val="19"/>
              </w:rPr>
              <w:t>I did not open the toolkit or YouCanStopHT.com; I do not recommend them for classroom use until a specialist reviews them.</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20</w:t>
            </w:r>
          </w:p>
        </w:tc>
        <w:tc>
          <w:tcPr>
            <w:tcW w:type="dxa" w:w="1061"/>
            <w:tcMar>
              <w:top w:w="50" w:type="dxa"/>
              <w:left w:w="90" w:type="dxa"/>
              <w:bottom w:w="60" w:type="dxa"/>
              <w:right w:w="90" w:type="dxa"/>
            </w:tcMar>
          </w:tcPr>
          <w:p>
            <w:pPr>
              <w:spacing w:before="0" w:after="0" w:line="252" w:lineRule="auto"/>
            </w:pPr>
            <w:r>
              <w:rPr>
                <w:rFonts w:ascii="Calibri" w:hAnsi="Calibri"/>
                <w:b/>
                <w:sz w:val="19"/>
              </w:rPr>
              <w:t>National Human Trafficking Hotline</w:t>
            </w:r>
            <w:r>
              <w:rPr>
                <w:rFonts w:ascii="Calibri" w:hAnsi="Calibri"/>
                <w:sz w:val="19"/>
              </w:rPr>
              <w:t xml:space="preserve"> (federally funded service)</w:t>
            </w:r>
          </w:p>
        </w:tc>
        <w:tc>
          <w:tcPr>
            <w:tcW w:type="dxa" w:w="3531"/>
            <w:tcMar>
              <w:top w:w="50" w:type="dxa"/>
              <w:left w:w="90" w:type="dxa"/>
              <w:bottom w:w="60" w:type="dxa"/>
              <w:right w:w="90" w:type="dxa"/>
            </w:tcMar>
          </w:tcPr>
          <w:p>
            <w:pPr>
              <w:spacing w:before="0" w:after="0" w:line="252" w:lineRule="auto"/>
            </w:pPr>
            <w:r>
              <w:rPr>
                <w:rFonts w:ascii="Calibri" w:hAnsi="Calibri"/>
                <w:sz w:val="19"/>
              </w:rPr>
              <w:t>https://humantraffickinghotline.org/en/contact</w:t>
            </w:r>
          </w:p>
        </w:tc>
        <w:tc>
          <w:tcPr>
            <w:tcW w:type="dxa" w:w="1044"/>
            <w:tcMar>
              <w:top w:w="50" w:type="dxa"/>
              <w:left w:w="90" w:type="dxa"/>
              <w:bottom w:w="60" w:type="dxa"/>
              <w:right w:w="90" w:type="dxa"/>
            </w:tcMar>
          </w:tcPr>
          <w:p>
            <w:pPr>
              <w:spacing w:before="0" w:after="0" w:line="252" w:lineRule="auto"/>
            </w:pPr>
            <w:r>
              <w:rPr>
                <w:rFonts w:ascii="Calibri" w:hAnsi="Calibri"/>
                <w:sz w:val="19"/>
              </w:rPr>
              <w:t>Read directly in the built-in browser</w:t>
            </w:r>
          </w:p>
        </w:tc>
        <w:tc>
          <w:tcPr>
            <w:tcW w:type="dxa" w:w="2244"/>
            <w:tcMar>
              <w:top w:w="50" w:type="dxa"/>
              <w:left w:w="90" w:type="dxa"/>
              <w:bottom w:w="60" w:type="dxa"/>
              <w:right w:w="90" w:type="dxa"/>
            </w:tcMar>
          </w:tcPr>
          <w:p>
            <w:pPr>
              <w:spacing w:before="0" w:after="0" w:line="252" w:lineRule="auto"/>
            </w:pPr>
            <w:r>
              <w:rPr>
                <w:rFonts w:ascii="Calibri" w:hAnsi="Calibri"/>
                <w:sz w:val="19"/>
              </w:rPr>
              <w:t>1-888-373-7888; 24 hours, 7 days; 200+ languages; confidential; live chat and online tip form exist; "If you are in immediate danger, contact 911."</w:t>
            </w:r>
          </w:p>
        </w:tc>
        <w:tc>
          <w:tcPr>
            <w:tcW w:type="dxa" w:w="1559"/>
            <w:tcMar>
              <w:top w:w="50" w:type="dxa"/>
              <w:left w:w="90" w:type="dxa"/>
              <w:bottom w:w="60" w:type="dxa"/>
              <w:right w:w="90" w:type="dxa"/>
            </w:tcMar>
          </w:tcPr>
          <w:p>
            <w:pPr>
              <w:spacing w:before="0" w:after="0" w:line="252" w:lineRule="auto"/>
            </w:pPr>
            <w:r>
              <w:rPr>
                <w:rFonts w:ascii="Calibri" w:hAnsi="Calibri"/>
                <w:sz w:val="19"/>
              </w:rPr>
              <w:t>The text-message number (not on that page). I omitted it.</w:t>
            </w:r>
          </w:p>
        </w:tc>
      </w:tr>
      <w:tr>
        <w:trPr>
          <w:cantSplit/>
        </w:trPr>
        <w:tc>
          <w:tcPr>
            <w:tcW w:type="dxa" w:w="353"/>
            <w:tcMar>
              <w:top w:w="50" w:type="dxa"/>
              <w:left w:w="0" w:type="dxa"/>
              <w:bottom w:w="60" w:type="dxa"/>
              <w:right w:w="90" w:type="dxa"/>
            </w:tcMar>
          </w:tcPr>
          <w:p>
            <w:pPr>
              <w:spacing w:before="0" w:after="0" w:line="252" w:lineRule="auto"/>
            </w:pPr>
            <w:r>
              <w:rPr>
                <w:rFonts w:ascii="Calibri" w:hAnsi="Calibri"/>
                <w:sz w:val="19"/>
              </w:rPr>
              <w:t>21</w:t>
            </w:r>
          </w:p>
        </w:tc>
        <w:tc>
          <w:tcPr>
            <w:tcW w:type="dxa" w:w="1061"/>
            <w:tcMar>
              <w:top w:w="50" w:type="dxa"/>
              <w:left w:w="90" w:type="dxa"/>
              <w:bottom w:w="60" w:type="dxa"/>
              <w:right w:w="90" w:type="dxa"/>
            </w:tcMar>
          </w:tcPr>
          <w:p>
            <w:pPr>
              <w:spacing w:before="0" w:after="0" w:line="252" w:lineRule="auto"/>
            </w:pPr>
            <w:r>
              <w:rPr>
                <w:rFonts w:ascii="Calibri" w:hAnsi="Calibri"/>
                <w:b/>
                <w:sz w:val="19"/>
              </w:rPr>
              <w:t>FLDOE, "A Student's Guide to Internet Safety"</w:t>
            </w:r>
            <w:r>
              <w:rPr>
                <w:rFonts w:ascii="Calibri" w:hAnsi="Calibri"/>
                <w:sz w:val="19"/>
              </w:rPr>
              <w:t xml:space="preserve"> (16-page PDF; PDF title "Student Guide to Internet Safety"; created 2025-05-22 per the file's metadata; no printed date)</w:t>
            </w:r>
          </w:p>
        </w:tc>
        <w:tc>
          <w:tcPr>
            <w:tcW w:type="dxa" w:w="3531"/>
            <w:tcMar>
              <w:top w:w="50" w:type="dxa"/>
              <w:left w:w="90" w:type="dxa"/>
              <w:bottom w:w="60" w:type="dxa"/>
              <w:right w:w="90" w:type="dxa"/>
            </w:tcMar>
          </w:tcPr>
          <w:p>
            <w:pPr>
              <w:spacing w:before="0" w:after="0" w:line="252" w:lineRule="auto"/>
            </w:pPr>
            <w:r>
              <w:rPr>
                <w:rFonts w:ascii="Calibri" w:hAnsi="Calibri"/>
                <w:sz w:val="19"/>
              </w:rPr>
              <w:t>Linked from the FLDOE Effects of Social Media page (source 13): https://www.fldoe.org/academics/standards/instructional-materials/effects-sm.stml (page read 2026-10-05). The PDF's own URL was not captured.</w:t>
            </w:r>
          </w:p>
        </w:tc>
        <w:tc>
          <w:tcPr>
            <w:tcW w:type="dxa" w:w="1044"/>
            <w:tcMar>
              <w:top w:w="50" w:type="dxa"/>
              <w:left w:w="90" w:type="dxa"/>
              <w:bottom w:w="60" w:type="dxa"/>
              <w:right w:w="90" w:type="dxa"/>
            </w:tcMar>
          </w:tcPr>
          <w:p>
            <w:pPr>
              <w:spacing w:before="0" w:after="0" w:line="252" w:lineRule="auto"/>
            </w:pPr>
            <w:r>
              <w:rPr>
                <w:rFonts w:ascii="Calibri" w:hAnsi="Calibri"/>
                <w:b/>
                <w:sz w:val="19"/>
              </w:rPr>
              <w:t>Provided by the project owner</w:t>
            </w:r>
            <w:r>
              <w:rPr>
                <w:rFonts w:ascii="Calibri" w:hAnsi="Calibri"/>
                <w:sz w:val="19"/>
              </w:rPr>
              <w:t xml:space="preserve"> as a local PDF file; text extracted and the home-activity boxes (which are images) read from page renders</w:t>
            </w:r>
          </w:p>
        </w:tc>
        <w:tc>
          <w:tcPr>
            <w:tcW w:type="dxa" w:w="2244"/>
            <w:tcMar>
              <w:top w:w="50" w:type="dxa"/>
              <w:left w:w="90" w:type="dxa"/>
              <w:bottom w:w="60" w:type="dxa"/>
              <w:right w:w="90" w:type="dxa"/>
            </w:tcMar>
          </w:tcPr>
          <w:p>
            <w:pPr>
              <w:spacing w:before="0" w:after="0" w:line="252" w:lineRule="auto"/>
            </w:pPr>
            <w:r>
              <w:rPr>
                <w:rFonts w:ascii="Calibri" w:hAnsi="Calibri"/>
                <w:sz w:val="19"/>
              </w:rPr>
              <w:t>pp.1-16 read in full [VERIFIED 2026-10-05: FLDOE Student's Guide to Internet Safety, May 2025 PDF]: it is developed by FLDOE, aligned to Florida's state academic standards, supplementary, for student use at home with a parent or guardian, and "does not constitute complete instruction" (p.4); it follows the six statutory components with "students learn how to" and "skills to practice" lists, dependency signs, eight personal-security tips (incl. "Trust Your Instincts"), nine suspicious-activity steps, six reporting steps, glossary boxes and home activities; it recounts HB 379 and HB 3 (p.4). Used in Crosswalk Section 9 to 11 and the Gap Lesson Stubs.</w:t>
            </w:r>
          </w:p>
        </w:tc>
        <w:tc>
          <w:tcPr>
            <w:tcW w:type="dxa" w:w="1559"/>
            <w:tcMar>
              <w:top w:w="50" w:type="dxa"/>
              <w:left w:w="90" w:type="dxa"/>
              <w:bottom w:w="60" w:type="dxa"/>
              <w:right w:w="90" w:type="dxa"/>
            </w:tcMar>
          </w:tcPr>
          <w:p>
            <w:pPr>
              <w:spacing w:before="0" w:after="0" w:line="252" w:lineRule="auto"/>
            </w:pPr>
            <w:r>
              <w:rPr>
                <w:rFonts w:ascii="Calibri" w:hAnsi="Calibri"/>
                <w:sz w:val="19"/>
              </w:rPr>
              <w:t>The PDF's posting date and URL on fldoe.org; whether FLDOE has issued a newer version; the guide has no printed date, and "May 2025" comes from file metadata. [VERIFY with FLDOE] It is not an approval or endorsement of Hackles.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Sources checked only through the kit (not re-read by me)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07"/>
        <w:gridCol w:w="3445"/>
        <w:gridCol w:w="2740"/>
      </w:tblGrid>
      <w:tr>
        <w:trPr>
          <w:tblHeader/>
          <w:cantSplit/>
        </w:trPr>
        <w:tc>
          <w:tcPr>
            <w:tcW w:type="dxa" w:w="360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FACT</w:t>
            </w:r>
          </w:p>
        </w:tc>
        <w:tc>
          <w:tcPr>
            <w:tcW w:type="dxa" w:w="34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KIT LOCATION</w:t>
            </w:r>
          </w:p>
        </w:tc>
        <w:tc>
          <w:tcPr>
            <w:tcW w:type="dxa" w:w="27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STATUS HERE</w:t>
            </w:r>
          </w:p>
        </w:tc>
      </w:tr>
      <w:tr>
        <w:trPr>
          <w:cantSplit/>
        </w:trPr>
        <w:tc>
          <w:tcPr>
            <w:tcW w:type="dxa" w:w="3607"/>
            <w:tcMar>
              <w:top w:w="50" w:type="dxa"/>
              <w:left w:w="0" w:type="dxa"/>
              <w:bottom w:w="60" w:type="dxa"/>
              <w:right w:w="90" w:type="dxa"/>
            </w:tcMar>
          </w:tcPr>
          <w:p>
            <w:pPr>
              <w:spacing w:before="0" w:after="0" w:line="252" w:lineRule="auto"/>
            </w:pPr>
            <w:r>
              <w:rPr>
                <w:rFonts w:ascii="Calibri" w:hAnsi="Calibri"/>
                <w:sz w:val="19"/>
              </w:rPr>
              <w:t>988 Suicide &amp; Crisis Lifeline; Crisis Text Line (741741); NCMEC CyberTipline; Take It Down</w:t>
            </w:r>
          </w:p>
        </w:tc>
        <w:tc>
          <w:tcPr>
            <w:tcW w:type="dxa" w:w="3445"/>
            <w:tcMar>
              <w:top w:w="50" w:type="dxa"/>
              <w:left w:w="90" w:type="dxa"/>
              <w:bottom w:w="60" w:type="dxa"/>
              <w:right w:w="90" w:type="dxa"/>
            </w:tcMar>
          </w:tcPr>
          <w:p>
            <w:pPr>
              <w:spacing w:before="0" w:after="0" w:line="252" w:lineRule="auto"/>
            </w:pPr>
            <w:r>
              <w:rPr>
                <w:rFonts w:ascii="Calibri" w:hAnsi="Calibri"/>
                <w:sz w:val="19"/>
              </w:rPr>
              <w:t>6-8 and 9-12 Teacher Guides (marked VERIFIED 2026-10-05 by an earlier kit fact-check)</w:t>
            </w:r>
          </w:p>
        </w:tc>
        <w:tc>
          <w:tcPr>
            <w:tcW w:type="dxa" w:w="2740"/>
            <w:tcMar>
              <w:top w:w="50" w:type="dxa"/>
              <w:left w:w="90" w:type="dxa"/>
              <w:bottom w:w="60" w:type="dxa"/>
              <w:right w:w="90" w:type="dxa"/>
            </w:tcMar>
          </w:tcPr>
          <w:p>
            <w:pPr>
              <w:spacing w:before="0" w:after="0" w:line="252" w:lineRule="auto"/>
            </w:pPr>
            <w:r>
              <w:rPr>
                <w:rFonts w:ascii="Calibri" w:hAnsi="Calibri"/>
                <w:sz w:val="19"/>
              </w:rPr>
              <w:t>Not re-read by me; shown with [VERIFY] in the Florida files.</w:t>
            </w:r>
          </w:p>
        </w:tc>
      </w:tr>
      <w:tr>
        <w:trPr>
          <w:cantSplit/>
        </w:trPr>
        <w:tc>
          <w:tcPr>
            <w:tcW w:type="dxa" w:w="3607"/>
            <w:tcMar>
              <w:top w:w="50" w:type="dxa"/>
              <w:left w:w="0" w:type="dxa"/>
              <w:bottom w:w="60" w:type="dxa"/>
              <w:right w:w="90" w:type="dxa"/>
            </w:tcMar>
          </w:tcPr>
          <w:p>
            <w:pPr>
              <w:spacing w:before="0" w:after="0" w:line="252" w:lineRule="auto"/>
            </w:pPr>
            <w:r>
              <w:rPr>
                <w:rFonts w:ascii="Calibri" w:hAnsi="Calibri"/>
                <w:sz w:val="19"/>
              </w:rPr>
              <w:t>CSTA, ISTE, CASEL codes</w:t>
            </w:r>
          </w:p>
        </w:tc>
        <w:tc>
          <w:tcPr>
            <w:tcW w:type="dxa" w:w="3445"/>
            <w:tcMar>
              <w:top w:w="50" w:type="dxa"/>
              <w:left w:w="90" w:type="dxa"/>
              <w:bottom w:w="60" w:type="dxa"/>
              <w:right w:w="90" w:type="dxa"/>
            </w:tcMar>
          </w:tcPr>
          <w:p>
            <w:pPr>
              <w:spacing w:before="0" w:after="0" w:line="252" w:lineRule="auto"/>
            </w:pPr>
            <w:r>
              <w:rPr>
                <w:rFonts w:ascii="Calibri" w:hAnsi="Calibri"/>
                <w:sz w:val="19"/>
              </w:rPr>
              <w:t>Kit Teacher Guides</w:t>
            </w:r>
          </w:p>
        </w:tc>
        <w:tc>
          <w:tcPr>
            <w:tcW w:type="dxa" w:w="2740"/>
            <w:tcMar>
              <w:top w:w="50" w:type="dxa"/>
              <w:left w:w="90" w:type="dxa"/>
              <w:bottom w:w="60" w:type="dxa"/>
              <w:right w:w="90" w:type="dxa"/>
            </w:tcMar>
          </w:tcPr>
          <w:p>
            <w:pPr>
              <w:spacing w:before="0" w:after="0" w:line="252" w:lineRule="auto"/>
            </w:pPr>
            <w:r>
              <w:rPr>
                <w:rFonts w:ascii="Calibri" w:hAnsi="Calibri"/>
                <w:sz w:val="19"/>
              </w:rPr>
              <w:t>Approximate mappings; not re-read.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Things I looked for and could not confirm</w:t>
      </w:r>
    </w:p>
    <w:p>
      <w:pPr>
        <w:spacing w:before="0" w:after="60"/>
        <w:ind w:left="504" w:hanging="360"/>
      </w:pPr>
      <w:r>
        <w:rPr>
          <w:b/>
          <w:color w:val="2F6F73"/>
        </w:rPr>
        <w:t xml:space="preserve">1. </w:t>
      </w:r>
      <w:r>
        <w:rPr>
          <w:b/>
        </w:rPr>
        <w:t>Any Florida approval step for third-party social media materials.</w:t>
      </w:r>
      <w:r>
        <w:rPr/>
        <w:t xml:space="preserve"> I found none in s. 1003.42, Rule 6A-1.094124 or the FLDOE pages. Absence in what I read is not proof that none exists. [VERIFY with FLDOE]</w:t>
      </w:r>
    </w:p>
    <w:p>
      <w:pPr>
        <w:spacing w:before="0" w:after="60"/>
        <w:ind w:left="504" w:hanging="360"/>
      </w:pPr>
      <w:r>
        <w:rPr>
          <w:b/>
          <w:color w:val="2F6F73"/>
        </w:rPr>
        <w:t xml:space="preserve">2. </w:t>
      </w:r>
      <w:r>
        <w:rPr>
          <w:b/>
        </w:rPr>
        <w:t>State Board of Education "standards" for the social media components</w:t>
      </w:r>
      <w:r>
        <w:rPr/>
        <w:t xml:space="preserve"> beyond the health education benchmarks in FLDOE's guide. Not searched in the State Board's rule chapters. [VERIFY]</w:t>
      </w:r>
    </w:p>
    <w:p>
      <w:pPr>
        <w:spacing w:before="0" w:after="60"/>
        <w:ind w:left="504" w:hanging="360"/>
      </w:pPr>
      <w:r>
        <w:rPr>
          <w:b/>
          <w:color w:val="2F6F73"/>
        </w:rPr>
        <w:t xml:space="preserve">3. </w:t>
      </w:r>
      <w:r>
        <w:rPr>
          <w:b/>
        </w:rPr>
        <w:t>HB 3 (2024) effective date, enforcement and litigation.</w:t>
      </w:r>
      <w:r>
        <w:rPr/>
        <w:t xml:space="preserve"> Statute text read; the rest not found on a primary page. [VERIFY]</w:t>
      </w:r>
    </w:p>
    <w:p>
      <w:pPr>
        <w:spacing w:before="0" w:after="60"/>
        <w:ind w:left="504" w:hanging="360"/>
      </w:pPr>
      <w:r>
        <w:rPr>
          <w:b/>
          <w:color w:val="2F6F73"/>
        </w:rPr>
        <w:t xml:space="preserve">4. </w:t>
      </w:r>
      <w:r>
        <w:rPr>
          <w:b/>
        </w:rPr>
        <w:t>The content of FLDOE's staff human trafficking training and the "free training curriculum."</w:t>
      </w:r>
      <w:r>
        <w:rPr/>
        <w:t xml:space="preserve"> Links seen; slides not opened.</w:t>
      </w:r>
    </w:p>
    <w:p>
      <w:pPr>
        <w:spacing w:before="0" w:after="60"/>
        <w:ind w:left="504" w:hanging="360"/>
      </w:pPr>
      <w:r>
        <w:rPr>
          <w:b/>
          <w:color w:val="2F6F73"/>
        </w:rPr>
        <w:t xml:space="preserve">5. </w:t>
      </w:r>
      <w:r>
        <w:rPr>
          <w:b/>
        </w:rPr>
        <w:t>A vetted student-facing human trafficking prevention curriculum, research base, or best-practice guidance.</w:t>
      </w:r>
      <w:r>
        <w:rPr/>
        <w:t xml:space="preserve"> I did not confirm any on a primary page. The two trafficking lessons are built only from the Florida rule's required topics and the Legislature's findings in s. 787.06(1). They need specialist review. [VERIFY]</w:t>
      </w:r>
    </w:p>
    <w:p>
      <w:pPr>
        <w:spacing w:before="0" w:after="60"/>
        <w:ind w:left="504" w:hanging="360"/>
      </w:pPr>
      <w:r>
        <w:rPr>
          <w:b/>
          <w:color w:val="2F6F73"/>
        </w:rPr>
        <w:t xml:space="preserve">6. </w:t>
      </w:r>
      <w:r>
        <w:rPr>
          <w:b/>
        </w:rPr>
        <w:t>Whether telling an administrator satisfies the reporting duty</w:t>
      </w:r>
      <w:r>
        <w:rPr/>
        <w:t xml:space="preserve"> under s. 39.201. The statute text puts the duty on "a person" to report to the central abuse hotline; the school's internal procedure is for district counsel. [VERIFY]</w:t>
      </w:r>
    </w:p>
    <w:p>
      <w:pPr>
        <w:spacing w:before="0" w:after="60"/>
        <w:ind w:left="504" w:hanging="360"/>
      </w:pPr>
      <w:r>
        <w:rPr>
          <w:b/>
          <w:color w:val="2F6F73"/>
        </w:rPr>
        <w:t xml:space="preserve">7. </w:t>
      </w:r>
      <w:r>
        <w:rPr>
          <w:b/>
        </w:rPr>
        <w:t>FLDOE's "Student's Guide to Internet Safety" (PDF)</w:t>
      </w:r>
      <w:r>
        <w:rPr/>
        <w:t>: now read in full from the copy the owner supplied (source 21). Still unconfirmed: its URL and posting date on fldoe.org, and whether a newer version exists. [VERIFY]</w:t>
      </w:r>
    </w:p>
    <w:p>
      <w:pPr>
        <w:spacing w:before="0" w:after="60"/>
        <w:ind w:left="504" w:hanging="360"/>
      </w:pPr>
      <w:r>
        <w:rPr>
          <w:b/>
          <w:color w:val="2F6F73"/>
        </w:rPr>
        <w:t xml:space="preserve">8. </w:t>
      </w:r>
      <w:r>
        <w:rPr>
          <w:b/>
        </w:rPr>
        <w:t>FLDOE's Required Instruction Implementation Plan Template (2026-52A)</w:t>
      </w:r>
      <w:r>
        <w:rPr/>
        <w:t xml:space="preserve"> and </w:t>
      </w:r>
      <w:r>
        <w:rPr>
          <w:b/>
        </w:rPr>
        <w:t>Form RI-1</w:t>
      </w:r>
      <w:r>
        <w:rPr/>
        <w:t>: links only.</w:t>
      </w:r>
    </w:p>
    <w:p>
      <w:pPr>
        <w:spacing w:before="0" w:after="60"/>
        <w:ind w:left="504" w:hanging="360"/>
      </w:pPr>
      <w:r>
        <w:rPr>
          <w:b/>
          <w:color w:val="2F6F73"/>
        </w:rPr>
        <w:t xml:space="preserve">9. </w:t>
      </w:r>
      <w:r>
        <w:rPr>
          <w:b/>
        </w:rPr>
        <w:t>Whether any Florida district uses or has approved Hackles.</w:t>
      </w:r>
      <w:r>
        <w:rPr/>
        <w:t xml:space="preserve"> None known; the kit is a draft.</w:t>
      </w:r>
    </w:p>
    <w:p>
      <w:pPr>
        <w:spacing w:before="0" w:after="60"/>
        <w:ind w:left="504" w:hanging="360"/>
      </w:pPr>
      <w:r>
        <w:rPr>
          <w:b/>
          <w:color w:val="2F6F73"/>
        </w:rPr>
        <w:t xml:space="preserve">10. </w:t>
      </w:r>
      <w:r>
        <w:rPr>
          <w:b/>
        </w:rPr>
        <w:t>Which law added s. 1003.42(6)-(8)</w:t>
      </w:r>
      <w:r>
        <w:rPr/>
        <w:t xml:space="preserve"> (implementation plan, 45-day revisions, State Board action) and the date. The 2026 text has them; I did not trace the session law. [VERIFY]</w:t>
      </w:r>
    </w:p>
    <w:p>
      <w:pPr>
        <w:spacing w:before="0" w:after="60"/>
        <w:ind w:left="504" w:hanging="360"/>
      </w:pPr>
      <w:r>
        <w:rPr>
          <w:b/>
          <w:color w:val="2F6F73"/>
        </w:rPr>
        <w:t xml:space="preserve">11. </w:t>
      </w:r>
      <w:r>
        <w:rPr>
          <w:b/>
        </w:rPr>
        <w:t>Exact current text of the FLDOE page's "Section 1003.42(6)" citation</w:t>
      </w:r>
      <w:r>
        <w:rPr/>
        <w:t xml:space="preserve"> for the parent notice: appears inconsistent with the statute (see source 13). [VERIFY with FLDOE]</w:t>
      </w:r>
    </w:p>
    <w:p>
      <w:pPr>
        <w:pStyle w:val="Heading2"/>
        <w:pBdr>
          <w:top w:val="single" w:sz="18" w:space="6" w:color="FF8A3D"/>
        </w:pBdr>
        <w:spacing w:before="320"/>
      </w:pPr>
      <w:r>
        <w:rPr>
          <w:rFonts w:ascii="Courier New" w:hAnsi="Courier New"/>
          <w:b w:val="0"/>
          <w:color w:val="A8400A"/>
          <w:sz w:val="20"/>
        </w:rPr>
        <w:t xml:space="preserve">04  </w:t>
      </w:r>
      <w:r>
        <w:rPr/>
        <w:t>Quick reference: the key quoted language</w:t>
      </w:r>
    </w:p>
    <w:p>
      <w:pPr>
        <w:pStyle w:val="ListBullet"/>
      </w:pPr>
      <w:r>
        <w:rPr/>
        <w:t>1003.42(2)(o)5.a.: "For students in grades 6 through 12, the social, emotional, and physical effects of social media. This component must include, but need not be limited to, the negative effects of social media on mental health, including addiction; the distribution of misinformation on social media; how social media manipulates behavior; the permanency of sharing materials online; how to maintain personal security and identify cyberbullying, predatory behavior, and human trafficking on the Internet; and how to report suspicious behavior encountered on the Internet." [VERIFIED 2026-10-05: sources 1 and 3]</w:t>
      </w:r>
    </w:p>
    <w:p>
      <w:pPr>
        <w:pStyle w:val="ListBullet"/>
      </w:pPr>
      <w:r>
        <w:rPr/>
        <w:t>1003.42(2)(o)5.b.: "The Department of Education shall make available online the instructional material being used pursuant to this subparagraph, and each district school board shall notify parents of its availability." [VERIFIED 2026-10-05: sources 1 and 3]</w:t>
      </w:r>
    </w:p>
    <w:p>
      <w:pPr>
        <w:pStyle w:val="ListBullet"/>
      </w:pPr>
      <w:r>
        <w:rPr/>
        <w:t>Effective: "This act shall take effect July 1, 2023." [VERIFIED 2026-10-05: source 3]</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FLORIDA · STATUTES AND SOURCES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Florida · Statutes and Sources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