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AF4E4"/>
  <w:body>
    <w:p>
      <w:pPr>
        <w:spacing w:before="0" w:after="80"/>
      </w:pPr>
      <w:r>
        <w:drawing>
          <wp:inline xmlns:a="http://schemas.openxmlformats.org/drawingml/2006/main" xmlns:pic="http://schemas.openxmlformats.org/drawingml/2006/picture">
            <wp:extent cx="1276649" cy="457200"/>
            <wp:docPr id="1" name="Picture 1" descr="Hackles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ckles_logo_horizont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76649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double" w:sz="6" w:space="4" w:color="2B2D42"/>
        </w:pBdr>
        <w:spacing w:before="0" w:after="120"/>
      </w:pPr>
    </w:p>
    <w:p>
      <w:pPr>
        <w:spacing w:before="120" w:after="40" w:line="240" w:lineRule="auto"/>
      </w:pPr>
      <w:r>
        <w:rPr>
          <w:rFonts w:ascii="Georgia" w:hAnsi="Georgia"/>
          <w:b/>
          <w:color w:val="2B2D42"/>
          <w:sz w:val="56"/>
        </w:rPr>
        <w:t>State Atlas N-W · Unknowns</w:t>
      </w:r>
    </w:p>
    <w:p>
      <w:pPr>
        <w:spacing w:before="0" w:after="40"/>
      </w:pPr>
      <w:r>
        <w:rPr>
          <w:rFonts w:ascii="Georgia" w:hAnsi="Georgia"/>
          <w:b/>
          <w:i/>
          <w:color w:val="2F6F73"/>
          <w:sz w:val="26"/>
        </w:rPr>
        <w:t>The Hackles Kit</w:t>
      </w:r>
    </w:p>
    <w:p>
      <w:pPr>
        <w:spacing w:before="0" w:after="240"/>
      </w:pPr>
      <w:r>
        <w:rPr>
          <w:rFonts w:ascii="Calibri" w:hAnsi="Calibri"/>
          <w:color w:val="5A5C70"/>
          <w:sz w:val="17"/>
        </w:rPr>
        <w:t>Hackles · a free kit · quillsup.org · October 2026</w:t>
      </w:r>
    </w:p>
    <w:p>
      <w:r>
        <w:rPr/>
        <w:t>Hackles · a free kit · quillsup.org · © 2026 Competence Collective. Lesson text and teaching materials: CC BY-NC 4.0 (free to print, share and adapt for non-commercial use with credit). The Hackles name, logos, characters and artwork are not covered by that license: print and share them unaltered for classroom and family use; any other use needs written permission. [VERIFY with counsel]</w:t>
      </w:r>
    </w:p>
    <w:p>
      <w:r>
        <w:rPr>
          <w:b/>
        </w:rPr>
        <w:t>Status: DRAFT working document, 2026-10-05. Not legal advice.</w:t>
      </w:r>
      <w:r>
        <w:rPr/>
        <w:t xml:space="preserve"> Access date for every source: 2026-10-05. Tag key: </w:t>
      </w:r>
      <w:r>
        <w:rPr>
          <w:b/>
        </w:rPr>
        <w:t>[VERIFIED 2026-10-05: URL]</w:t>
      </w:r>
      <w:r>
        <w:rPr/>
        <w:t xml:space="preserve"> = the researcher read that primary page; </w:t>
      </w:r>
      <w:r>
        <w:rPr>
          <w:b/>
        </w:rPr>
        <w:t>[VERIFY]</w:t>
      </w:r>
      <w:r>
        <w:rPr/>
        <w:t xml:space="preserve"> = not confirmed from a primary source. 'No state mandate found in primary sources searched' means exactly that, not that none exists.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Nebraska</w:t>
      </w:r>
    </w:p>
    <w:p>
      <w:pPr>
        <w:pStyle w:val="ListBullet"/>
      </w:pPr>
      <w:r>
        <w:rPr/>
        <w:t>Whether any Erin's-law-type statute was enacted (search summaries only).</w:t>
      </w:r>
    </w:p>
    <w:p>
      <w:pPr>
        <w:pStyle w:val="ListBullet"/>
      </w:pPr>
      <w:r>
        <w:rPr/>
        <w:t>Nebraska K-8 CS standards codes and state health standards.</w:t>
      </w:r>
    </w:p>
    <w:p>
      <w:pPr>
        <w:pStyle w:val="ListBullet"/>
      </w:pPr>
      <w:r>
        <w:rPr/>
        <w:t>Student-data privacy statute.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Nevada</w:t>
      </w:r>
    </w:p>
    <w:p>
      <w:pPr>
        <w:pStyle w:val="ListBullet"/>
      </w:pPr>
      <w:r>
        <w:rPr/>
        <w:t>Full NRS 388.1395 text on leg.state.nv.us.</w:t>
      </w:r>
    </w:p>
    <w:p>
      <w:pPr>
        <w:pStyle w:val="ListBullet"/>
      </w:pPr>
      <w:r>
        <w:rPr/>
        <w:t>Final K-12 CS standards and health benchmark codes.</w:t>
      </w:r>
    </w:p>
    <w:p>
      <w:pPr>
        <w:pStyle w:val="ListBullet"/>
      </w:pPr>
      <w:r>
        <w:rPr/>
        <w:t>DCFS reporting URL/hotline.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New Hampshire</w:t>
      </w:r>
    </w:p>
    <w:p>
      <w:pPr>
        <w:pStyle w:val="ListBullet"/>
      </w:pPr>
      <w:r>
        <w:rPr/>
        <w:t>SB 460 (2016) text and RSA placement.</w:t>
      </w:r>
    </w:p>
    <w:p>
      <w:pPr>
        <w:pStyle w:val="ListBullet"/>
      </w:pPr>
      <w:r>
        <w:rPr/>
        <w:t>NH CS and health standards codes.</w:t>
      </w:r>
    </w:p>
    <w:p>
      <w:pPr>
        <w:pStyle w:val="ListBullet"/>
      </w:pPr>
      <w:r>
        <w:rPr/>
        <w:t>DCYF page contents.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New Jersey</w:t>
      </w:r>
    </w:p>
    <w:p>
      <w:pPr>
        <w:pStyle w:val="ListBullet"/>
      </w:pPr>
      <w:r>
        <w:rPr/>
        <w:t>Official statute text and effective dates for 4.27 and 4.33 (pub.njleg.gov unreachable).</w:t>
      </w:r>
    </w:p>
    <w:p>
      <w:pPr>
        <w:pStyle w:val="ListBullet"/>
      </w:pPr>
      <w:r>
        <w:rPr/>
        <w:t>Benchmark codes; DCF reporting URL.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New Mexico</w:t>
      </w:r>
    </w:p>
    <w:p>
      <w:pPr>
        <w:pStyle w:val="ListBullet"/>
      </w:pPr>
      <w:r>
        <w:rPr/>
        <w:t>Enacted text of 22-13-1/22-10A-32 and exact grade scope.</w:t>
      </w:r>
    </w:p>
    <w:p>
      <w:pPr>
        <w:pStyle w:val="ListBullet"/>
      </w:pPr>
      <w:r>
        <w:rPr/>
        <w:t>Whether 6.29.6 has been superseded by newer health standards.</w:t>
      </w:r>
    </w:p>
    <w:p>
      <w:pPr>
        <w:pStyle w:val="ListBullet"/>
      </w:pPr>
      <w:r>
        <w:rPr/>
        <w:t>CYFD reporting page.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New York</w:t>
      </w:r>
    </w:p>
    <w:p>
      <w:pPr>
        <w:pStyle w:val="ListBullet"/>
      </w:pPr>
      <w:r>
        <w:rPr/>
        <w:t>CS&amp;DF standard codes and Regents regulation text.</w:t>
      </w:r>
    </w:p>
    <w:p>
      <w:pPr>
        <w:pStyle w:val="ListBullet"/>
      </w:pPr>
      <w:r>
        <w:rPr/>
        <w:t>Official hotline number.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North Carolina</w:t>
      </w:r>
    </w:p>
    <w:p>
      <w:pPr>
        <w:pStyle w:val="ListBullet"/>
      </w:pPr>
      <w:r>
        <w:rPr/>
        <w:t>DPI 2024 Healthful Living benchmark codes for social media.</w:t>
      </w:r>
    </w:p>
    <w:p>
      <w:pPr>
        <w:pStyle w:val="ListBullet"/>
      </w:pPr>
      <w:r>
        <w:rPr/>
        <w:t>NC reporting hotline number; DPI adoption guidance.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North Dakota</w:t>
      </w:r>
    </w:p>
    <w:p>
      <w:pPr>
        <w:pStyle w:val="ListBullet"/>
      </w:pPr>
      <w:r>
        <w:rPr/>
        <w:t>Effective/implementation date of 15.1-09-61.</w:t>
      </w:r>
    </w:p>
    <w:p>
      <w:pPr>
        <w:pStyle w:val="ListBullet"/>
      </w:pPr>
      <w:r>
        <w:rPr/>
        <w:t>ND health standards; ND student privacy statute.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Ohio</w:t>
      </w:r>
    </w:p>
    <w:p>
      <w:pPr>
        <w:pStyle w:val="ListBullet"/>
      </w:pPr>
      <w:r>
        <w:rPr/>
        <w:t>Ohio health standards; 136th GA social media bills.</w:t>
      </w:r>
    </w:p>
    <w:p>
      <w:pPr>
        <w:pStyle w:val="ListBullet"/>
      </w:pPr>
      <w:r>
        <w:rPr/>
        <w:t>State agency reporting page URL.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Oklahoma</w:t>
      </w:r>
    </w:p>
    <w:p>
      <w:pPr>
        <w:pStyle w:val="ListBullet"/>
      </w:pPr>
      <w:r>
        <w:rPr/>
        <w:t>Final fate of HB 1388 after the 2026 session.</w:t>
      </w:r>
    </w:p>
    <w:p>
      <w:pPr>
        <w:pStyle w:val="ListBullet"/>
      </w:pPr>
      <w:r>
        <w:rPr/>
        <w:t>Standards benchmark codes.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Oregon</w:t>
      </w:r>
    </w:p>
    <w:p>
      <w:pPr>
        <w:pStyle w:val="ListBullet"/>
      </w:pPr>
      <w:r>
        <w:rPr/>
        <w:t>Edition year of the posted ORS text.</w:t>
      </w:r>
    </w:p>
    <w:p>
      <w:pPr>
        <w:pStyle w:val="ListBullet"/>
      </w:pPr>
      <w:r>
        <w:rPr/>
        <w:t>Health and CS standard codes; ODE adoption guidance.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Pennsylvania</w:t>
      </w:r>
    </w:p>
    <w:p>
      <w:pPr>
        <w:pStyle w:val="ListBullet"/>
      </w:pPr>
      <w:r>
        <w:rPr/>
        <w:t>Whether the State Board has revised standards under s.1556.</w:t>
      </w:r>
    </w:p>
    <w:p>
      <w:pPr>
        <w:pStyle w:val="ListBullet"/>
      </w:pPr>
      <w:r>
        <w:rPr/>
        <w:t>Standards codes; PA student privacy statute.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Rhode Island</w:t>
      </w:r>
    </w:p>
    <w:p>
      <w:pPr>
        <w:pStyle w:val="ListBullet"/>
      </w:pPr>
      <w:r>
        <w:rPr/>
        <w:t>Effective date of 16-22-26 text not read.</w:t>
      </w:r>
    </w:p>
    <w:p>
      <w:pPr>
        <w:pStyle w:val="ListBullet"/>
      </w:pPr>
      <w:r>
        <w:rPr/>
        <w:t>Whether RIDE issued rules/frameworks adding internet safety or media literacy (16-22-28 outcome).</w:t>
      </w:r>
    </w:p>
    <w:p>
      <w:pPr>
        <w:pStyle w:val="ListBullet"/>
      </w:pPr>
      <w:r>
        <w:rPr/>
        <w:t>RI CS standard codes, health framework codes, student privacy statute.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South Carolina</w:t>
      </w:r>
    </w:p>
    <w:p>
      <w:pPr>
        <w:pStyle w:val="ListBullet"/>
      </w:pPr>
      <w:r>
        <w:rPr/>
        <w:t>Whether any 2025-26 enacted act adds dating-violence or internet-safety instruction.</w:t>
      </w:r>
    </w:p>
    <w:p>
      <w:pPr>
        <w:pStyle w:val="ListBullet"/>
      </w:pPr>
      <w:r>
        <w:rPr/>
        <w:t>Standard codes (CS/Digital Literacy, Health).</w:t>
      </w:r>
    </w:p>
    <w:p>
      <w:pPr>
        <w:pStyle w:val="ListBullet"/>
      </w:pPr>
      <w:r>
        <w:rPr/>
        <w:t>SCDE-approved Erin's Law resource list contents.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South Dakota</w:t>
      </w:r>
    </w:p>
    <w:p>
      <w:pPr>
        <w:pStyle w:val="ListBullet"/>
      </w:pPr>
      <w:r>
        <w:rPr/>
        <w:t>Full-text confirmation that no Erin's Law/internet-safety/trafficking instruction statute exists outside Title 13 (e.g., ARSD accreditation/health rules not read).</w:t>
      </w:r>
    </w:p>
    <w:p>
      <w:pPr>
        <w:pStyle w:val="ListBullet"/>
      </w:pPr>
      <w:r>
        <w:rPr/>
        <w:t>Health standards codes.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Tennessee</w:t>
      </w:r>
    </w:p>
    <w:p>
      <w:r>
        <w:rPr/>
        <w:t>enacted text/effective dates of Pub. Ch. 195; current 49-1-221; Erin's Law statute text; family-life grade span and any post-2021 amendments; official adopted CS standards version.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Texas</w:t>
      </w:r>
    </w:p>
    <w:p>
      <w:r>
        <w:rPr/>
        <w:t>effective date/legislative source of 28.002(z); whether SBOE rule beyond TEKS ch. 126 implements it; health TEKS; HB 129/SB 1267/SB 2787 relevance; Texas student privacy statutes.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Utah</w:t>
      </w:r>
    </w:p>
    <w:p>
      <w:r>
        <w:rPr/>
        <w:t>whether Utah Core CS standards have been revised to HB 273 yet (and codes); 53G-7-1202 effective date; Utah's other required instruction sections (e.g., Title 53G ch. 10) and bullying statute not read; HB 464 relevance not confirmed.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Vermont</w:t>
      </w:r>
    </w:p>
    <w:p>
      <w:pPr>
        <w:pStyle w:val="ListBullet"/>
      </w:pPr>
      <w:r>
        <w:rPr/>
        <w:t>Whether any 2025-26 act (e.g., S.284 media-literacy proposal) was enacted; not confirmed.</w:t>
      </w:r>
    </w:p>
    <w:p>
      <w:pPr>
        <w:pStyle w:val="ListBullet"/>
      </w:pPr>
      <w:r>
        <w:rPr/>
        <w:t>Whether the bullying definition covers electronic conduct (16 V.S.A. § 11(a)(26) not read).</w:t>
      </w:r>
    </w:p>
    <w:p>
      <w:pPr>
        <w:pStyle w:val="ListBullet"/>
      </w:pPr>
      <w:r>
        <w:rPr/>
        <w:t>Exact grades for § 131(11) instruction.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Virginia</w:t>
      </w:r>
    </w:p>
    <w:p>
      <w:pPr>
        <w:pStyle w:val="ListBullet"/>
      </w:pPr>
      <w:r>
        <w:rPr/>
        <w:t>Effective date of 2026 c. 48 and status of VDOE guidelines.</w:t>
      </w:r>
    </w:p>
    <w:p>
      <w:pPr>
        <w:pStyle w:val="ListBullet"/>
      </w:pPr>
      <w:r>
        <w:rPr/>
        <w:t>Local opt-out rules for family life instruction.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Washington</w:t>
      </w:r>
    </w:p>
    <w:p>
      <w:pPr>
        <w:pStyle w:val="ListBullet"/>
      </w:pPr>
      <w:r>
        <w:rPr/>
        <w:t>Content of 2026 c 225 and text of RCW 28A.300.285.</w:t>
      </w:r>
    </w:p>
    <w:p>
      <w:pPr>
        <w:pStyle w:val="ListBullet"/>
      </w:pPr>
      <w:r>
        <w:rPr/>
        <w:t>Any WA statute mandating sexual abuse prevention or trafficking instruction.</w:t>
      </w:r>
    </w:p>
    <w:p>
      <w:pPr>
        <w:pStyle w:val="ListBullet"/>
      </w:pPr>
      <w:r>
        <w:rPr/>
        <w:t>Health standards document.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West Virginia</w:t>
      </w:r>
    </w:p>
    <w:p>
      <w:pPr>
        <w:pStyle w:val="ListBullet"/>
      </w:pPr>
      <w:r>
        <w:rPr/>
        <w:t>Full SWAT content text and implementing WVBE policy number.</w:t>
      </w:r>
    </w:p>
    <w:p>
      <w:pPr>
        <w:pStyle w:val="ListBullet"/>
      </w:pPr>
      <w:r>
        <w:rPr/>
        <w:t>Status of SB 220 (2025) proposal for grade-specific instruction.</w:t>
      </w:r>
    </w:p>
    <w:p>
      <w:pPr>
        <w:pStyle w:val="ListBullet"/>
      </w:pPr>
      <w:r>
        <w:rPr/>
        <w:t>Policy 2520.14 / 2520.5 benchmark codes.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Wisconsin</w:t>
      </w:r>
    </w:p>
    <w:p>
      <w:pPr>
        <w:pStyle w:val="ListBullet"/>
      </w:pPr>
      <w:r>
        <w:rPr/>
        <w:t>Whether SB 171 / AB 156 has been enacted since the page was read.</w:t>
      </w:r>
    </w:p>
    <w:p>
      <w:pPr>
        <w:pStyle w:val="ListBullet"/>
      </w:pPr>
      <w:r>
        <w:rPr/>
        <w:t>Effective date of § 118.019 provisions.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Wyoming</w:t>
      </w:r>
    </w:p>
    <w:p>
      <w:pPr>
        <w:pStyle w:val="ListBullet"/>
      </w:pPr>
      <w:r>
        <w:rPr/>
        <w:t>Currency date of the compiled PDF (21-3-132 was repealed by 2025 ch. 61, so it is at least 2025).</w:t>
      </w:r>
    </w:p>
    <w:p>
      <w:pPr>
        <w:pStyle w:val="ListBullet"/>
      </w:pPr>
      <w:r>
        <w:rPr/>
        <w:t>Standards benchmark codes.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headerReference w:type="first" r:id="rId13"/>
      <w:pgSz w:w="12240" w:h="15840"/>
      <w:pgMar w:top="1368" w:right="1224" w:bottom="1224" w:left="1224" w:header="648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8C8672"/>
      </w:pBdr>
      <w:tabs>
        <w:tab w:pos="9792" w:val="right"/>
      </w:tabs>
    </w:pPr>
    <w:r/>
    <w:r>
      <w:rPr>
        <w:rFonts w:ascii="Calibri" w:hAnsi="Calibri"/>
        <w:color w:val="5A5C70"/>
        <w:sz w:val="14"/>
      </w:rPr>
      <w:t>Hackles · quillsup.org · © 2026 Competence Collective · Text CC BY-NC 4.0 · Name, logos and art: all rights reserved</w:t>
    </w:r>
    <w:r>
      <w:tab/>
    </w:r>
    <w:r>
      <w:rPr>
        <w:b/>
        <w:color w:val="2B2D42"/>
        <w:sz w:val="20"/>
      </w:rPr>
      <w:fldChar w:fldCharType="begin"/>
    </w:r>
    <w:r>
      <w:rPr>
        <w:b/>
        <w:color w:val="2B2D42"/>
        <w:sz w:val="20"/>
      </w:rPr>
      <w:instrText xml:space="preserve"> PAGE </w:instrText>
    </w:r>
    <w:r>
      <w:rPr>
        <w:b/>
        <w:color w:val="2B2D42"/>
        <w:sz w:val="20"/>
      </w:rPr>
      <w:fldChar w:fldCharType="separate"/>
    </w:r>
    <w:r>
      <w:rPr>
        <w:b/>
        <w:color w:val="2B2D42"/>
        <w:sz w:val="20"/>
      </w:rPr>
      <w:t>1</w:t>
    </w:r>
    <w:r>
      <w:rPr>
        <w:b/>
        <w:color w:val="2B2D42"/>
        <w:sz w:val="20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8C8672"/>
      </w:pBdr>
      <w:tabs>
        <w:tab w:pos="9792" w:val="right"/>
      </w:tabs>
    </w:pPr>
    <w:r/>
    <w:r>
      <w:rPr>
        <w:rFonts w:ascii="Calibri" w:hAnsi="Calibri"/>
        <w:color w:val="5A5C70"/>
        <w:sz w:val="14"/>
      </w:rPr>
      <w:t>Hackles · quillsup.org · © 2026 Competence Collective · Text CC BY-NC 4.0 · Name, logos and art: all rights reserved</w:t>
    </w:r>
    <w:r>
      <w:tab/>
    </w:r>
    <w:r>
      <w:rPr>
        <w:b/>
        <w:color w:val="2B2D42"/>
        <w:sz w:val="20"/>
      </w:rPr>
      <w:fldChar w:fldCharType="begin"/>
    </w:r>
    <w:r>
      <w:rPr>
        <w:b/>
        <w:color w:val="2B2D42"/>
        <w:sz w:val="20"/>
      </w:rPr>
      <w:instrText xml:space="preserve"> PAGE </w:instrText>
    </w:r>
    <w:r>
      <w:rPr>
        <w:b/>
        <w:color w:val="2B2D42"/>
        <w:sz w:val="20"/>
      </w:rPr>
      <w:fldChar w:fldCharType="separate"/>
    </w:r>
    <w:r>
      <w:rPr>
        <w:b/>
        <w:color w:val="2B2D42"/>
        <w:sz w:val="20"/>
      </w:rPr>
      <w:t>1</w:t>
    </w:r>
    <w:r>
      <w:rPr>
        <w:b/>
        <w:color w:val="2B2D42"/>
        <w:sz w:val="20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double" w:sz="6" w:space="4" w:color="2B2D42"/>
      </w:pBdr>
      <w:tabs>
        <w:tab w:pos="9792" w:val="right"/>
      </w:tabs>
      <w:spacing w:after="0"/>
    </w:pPr>
    <w:r/>
    <w:r>
      <w:rPr>
        <w:rFonts w:ascii="Calibri" w:hAnsi="Calibri"/>
        <w:b/>
        <w:color w:val="2F6F73"/>
        <w:sz w:val="15"/>
      </w:rPr>
      <w:t>STATE ATLAS N-W · UNKNOWNS</w:t>
    </w:r>
    <w:r>
      <w:rPr>
        <w:rFonts w:ascii="Calibri" w:hAnsi="Calibri"/>
        <w:color w:val="5A5C70"/>
        <w:sz w:val="13"/>
      </w:rPr>
      <w:tab/>
      <w:t>THE FIELD GUIDE TO THE WILD WEB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displayBackgroundShape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mbria" w:hAnsi="Cambria" w:cs="Cambria" w:eastAsia="Cambria"/>
      <w:color w:val="2B2D4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="Georgia" w:hAnsi="Georgia" w:cs="Georgia" w:eastAsia="Georgia"/>
      <w:b/>
      <w:bCs/>
      <w:i w:val="0"/>
      <w:color w:val="2B2D42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="Georgia" w:hAnsi="Georgia" w:cs="Georgia" w:eastAsia="Georgia"/>
      <w:b/>
      <w:bCs/>
      <w:i w:val="0"/>
      <w:color w:val="2B2D42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Calibri" w:hAnsi="Calibri" w:cs="Calibri" w:eastAsia="Calibri"/>
      <w:b/>
      <w:bCs/>
      <w:i w:val="0"/>
      <w:caps/>
      <w:color w:val="2F6F73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="Georgia" w:hAnsi="Georgia" w:cs="Georgia" w:eastAsia="Georgia"/>
      <w:b/>
      <w:bCs/>
      <w:i/>
      <w:iCs/>
      <w:color w:val="2B2D4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mbria" w:hAnsi="Cambria" w:cs="Cambria" w:eastAsia="Cambria"/>
      <w:color w:val="2B2D42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mbria" w:hAnsi="Cambria" w:cs="Cambria" w:eastAsia="Cambria"/>
      <w:color w:val="2B2D42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60"/>
      <w:contextualSpacing/>
    </w:pPr>
    <w:rPr>
      <w:rFonts w:ascii="Cambria" w:hAnsi="Cambria" w:cs="Cambria" w:eastAsia="Cambria"/>
      <w:color w:val="2B2D42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1.png"/><Relationship Id="rId13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Hackles · State Atlas N-W · Unknowns</dc:title>
  <dc:subject>The Hackles Kit</dc:subject>
  <dc:creator>Competence Collective</dc:creator>
  <cp:keywords>Hackles, Pause, Check, Tell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