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College Edition, Part A: Research and Evaluation Toolkit (Start Here)</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Tools for studying Hackles teaching and teacher preparation honestly. No controlled trial of Hackles exists. Hackles has not been evaluated or approved by any agency. Nothing here supplies evidence that it works; the toolkit helps a college find out, or say plainly that it does not yet know.</w:t>
      </w:r>
    </w:p>
    <w:p>
      <w:r>
        <w:rPr/>
        <w:t>No student accounts, no student data collected, ever. The default design uses aggregate teacher tallies, so no student identifier reaches the research team.</w:t>
      </w:r>
    </w:p>
    <w:p>
      <w:pPr>
        <w:pStyle w:val="Heading2"/>
        <w:pBdr>
          <w:top w:val="single" w:sz="18" w:space="6" w:color="FF8A3D"/>
        </w:pBdr>
        <w:spacing w:before="320"/>
      </w:pPr>
      <w:r>
        <w:rPr/>
        <w:t>What is here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45"/>
        <w:gridCol w:w="5047"/>
      </w:tblGrid>
      <w:tr>
        <w:trPr>
          <w:tblHeader/>
          <w:cantSplit/>
        </w:trPr>
        <w:tc>
          <w:tcPr>
            <w:tcW w:type="dxa" w:w="474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FILE</w:t>
            </w:r>
          </w:p>
        </w:tc>
        <w:tc>
          <w:tcPr>
            <w:tcW w:type="dxa" w:w="50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Evidence_Brief_What_Is_Known_and_Not_Known</w:t>
            </w:r>
          </w:p>
        </w:tc>
        <w:tc>
          <w:tcPr>
            <w:tcW w:type="dxa" w:w="5047"/>
            <w:tcMar>
              <w:top w:w="50" w:type="dxa"/>
              <w:left w:w="90" w:type="dxa"/>
              <w:bottom w:w="60" w:type="dxa"/>
              <w:right w:w="90" w:type="dxa"/>
            </w:tcMar>
          </w:tcPr>
          <w:p>
            <w:pPr>
              <w:spacing w:before="0" w:after="0" w:line="252" w:lineRule="auto"/>
            </w:pPr>
            <w:r>
              <w:rPr>
                <w:rFonts w:ascii="Calibri" w:hAnsi="Calibri"/>
                <w:sz w:val="19"/>
              </w:rPr>
              <w:t>An honest evidence brief built only from the kit's evidence files, with discrepancies flagged</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Study_Design_Menu</w:t>
            </w:r>
          </w:p>
        </w:tc>
        <w:tc>
          <w:tcPr>
            <w:tcW w:type="dxa" w:w="5047"/>
            <w:tcMar>
              <w:top w:w="50" w:type="dxa"/>
              <w:left w:w="90" w:type="dxa"/>
              <w:bottom w:w="60" w:type="dxa"/>
              <w:right w:w="90" w:type="dxa"/>
            </w:tcMar>
          </w:tcPr>
          <w:p>
            <w:pPr>
              <w:spacing w:before="0" w:after="0" w:line="252" w:lineRule="auto"/>
            </w:pPr>
            <w:r>
              <w:rPr>
                <w:rFonts w:ascii="Calibri" w:hAnsi="Calibri"/>
                <w:sz w:val="19"/>
              </w:rPr>
              <w:t>Pre/post with comparison group, stepped wedge, qualitative case study and teacher-implementation study, with sample sizes for small colleges</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IRB_Protocol_Template</w:t>
            </w:r>
          </w:p>
        </w:tc>
        <w:tc>
          <w:tcPr>
            <w:tcW w:type="dxa" w:w="5047"/>
            <w:tcMar>
              <w:top w:w="50" w:type="dxa"/>
              <w:left w:w="90" w:type="dxa"/>
              <w:bottom w:w="60" w:type="dxa"/>
              <w:right w:w="90" w:type="dxa"/>
            </w:tcMar>
          </w:tcPr>
          <w:p>
            <w:pPr>
              <w:spacing w:before="0" w:after="0" w:line="252" w:lineRule="auto"/>
            </w:pPr>
            <w:r>
              <w:rPr>
                <w:rFonts w:ascii="Calibri" w:hAnsi="Calibri"/>
                <w:sz w:val="19"/>
              </w:rPr>
              <w:t>Minimal-risk, privacy-by-design protocol with consent and assent templates, data management plan, adverse-event and disclosure protocol, mandated-reporter duties and vulnerable-population handling</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Instruments_and_Codebook</w:t>
            </w:r>
            <w:r>
              <w:rPr>
                <w:rFonts w:ascii="Calibri" w:hAnsi="Calibri"/>
                <w:sz w:val="19"/>
              </w:rPr>
              <w:t xml:space="preserve"> and </w:t>
            </w:r>
            <w:r>
              <w:rPr>
                <w:rFonts w:ascii="Consolas" w:hAnsi="Consolas"/>
                <w:color w:val="A8400A"/>
                <w:sz w:val="19"/>
              </w:rPr>
              <w:t>Hackles_Instruments_Codebook.csv</w:t>
            </w:r>
          </w:p>
        </w:tc>
        <w:tc>
          <w:tcPr>
            <w:tcW w:type="dxa" w:w="5047"/>
            <w:tcMar>
              <w:top w:w="50" w:type="dxa"/>
              <w:left w:w="90" w:type="dxa"/>
              <w:bottom w:w="60" w:type="dxa"/>
              <w:right w:w="90" w:type="dxa"/>
            </w:tcMar>
          </w:tcPr>
          <w:p>
            <w:pPr>
              <w:spacing w:before="0" w:after="0" w:line="252" w:lineRule="auto"/>
            </w:pPr>
            <w:r>
              <w:rPr>
                <w:rFonts w:ascii="Calibri" w:hAnsi="Calibri"/>
                <w:sz w:val="19"/>
              </w:rPr>
              <w:t>The Assessment Pack and Academy surveys as research instruments, with scoring and a codebook</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Preregistration_Template</w:t>
            </w:r>
          </w:p>
        </w:tc>
        <w:tc>
          <w:tcPr>
            <w:tcW w:type="dxa" w:w="5047"/>
            <w:tcMar>
              <w:top w:w="50" w:type="dxa"/>
              <w:left w:w="90" w:type="dxa"/>
              <w:bottom w:w="60" w:type="dxa"/>
              <w:right w:w="90" w:type="dxa"/>
            </w:tcMar>
          </w:tcPr>
          <w:p>
            <w:pPr>
              <w:spacing w:before="0" w:after="0" w:line="252" w:lineRule="auto"/>
            </w:pPr>
            <w:r>
              <w:rPr>
                <w:rFonts w:ascii="Calibri" w:hAnsi="Calibri"/>
                <w:sz w:val="19"/>
              </w:rPr>
              <w:t>A fill-in preregistration with an example</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Statistical_Plan_and_Example_Code</w:t>
            </w:r>
            <w:r>
              <w:rPr>
                <w:rFonts w:ascii="Calibri" w:hAnsi="Calibri"/>
                <w:sz w:val="19"/>
              </w:rPr>
              <w:t xml:space="preserve"> and </w:t>
            </w:r>
            <w:r>
              <w:rPr>
                <w:rFonts w:ascii="Consolas" w:hAnsi="Consolas"/>
                <w:color w:val="A8400A"/>
                <w:sz w:val="19"/>
              </w:rPr>
              <w:t>code/</w:t>
            </w:r>
          </w:p>
        </w:tc>
        <w:tc>
          <w:tcPr>
            <w:tcW w:type="dxa" w:w="5047"/>
            <w:tcMar>
              <w:top w:w="50" w:type="dxa"/>
              <w:left w:w="90" w:type="dxa"/>
              <w:bottom w:w="60" w:type="dxa"/>
              <w:right w:w="90" w:type="dxa"/>
            </w:tcMar>
          </w:tcPr>
          <w:p>
            <w:pPr>
              <w:spacing w:before="0" w:after="0" w:line="252" w:lineRule="auto"/>
            </w:pPr>
            <w:r>
              <w:rPr>
                <w:rFonts w:ascii="Calibri" w:hAnsi="Calibri"/>
                <w:sz w:val="19"/>
              </w:rPr>
              <w:t>A plan with Python code (tested on synthetic data) and R code (not run), sample size tables and simulation checks</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Limitations_Statement_Template</w:t>
            </w:r>
          </w:p>
        </w:tc>
        <w:tc>
          <w:tcPr>
            <w:tcW w:type="dxa" w:w="5047"/>
            <w:tcMar>
              <w:top w:w="50" w:type="dxa"/>
              <w:left w:w="90" w:type="dxa"/>
              <w:bottom w:w="60" w:type="dxa"/>
              <w:right w:w="90" w:type="dxa"/>
            </w:tcMar>
          </w:tcPr>
          <w:p>
            <w:pPr>
              <w:spacing w:before="0" w:after="0" w:line="252" w:lineRule="auto"/>
            </w:pPr>
            <w:r>
              <w:rPr>
                <w:rFonts w:ascii="Calibri" w:hAnsi="Calibri"/>
                <w:sz w:val="19"/>
              </w:rPr>
              <w:t>Short and full limits paragraphs</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Publication_Authorship_and_Data_Licence_Policy</w:t>
            </w:r>
          </w:p>
        </w:tc>
        <w:tc>
          <w:tcPr>
            <w:tcW w:type="dxa" w:w="5047"/>
            <w:tcMar>
              <w:top w:w="50" w:type="dxa"/>
              <w:left w:w="90" w:type="dxa"/>
              <w:bottom w:w="60" w:type="dxa"/>
              <w:right w:w="90" w:type="dxa"/>
            </w:tcMar>
          </w:tcPr>
          <w:p>
            <w:pPr>
              <w:spacing w:before="0" w:after="0" w:line="252" w:lineRule="auto"/>
            </w:pPr>
            <w:r>
              <w:rPr>
                <w:rFonts w:ascii="Calibri" w:hAnsi="Calibri"/>
                <w:sz w:val="19"/>
              </w:rPr>
              <w:t>Authorship, courtesy review, data and instruments licensing that keep the owner's IP intact</w:t>
            </w:r>
          </w:p>
        </w:tc>
      </w:tr>
      <w:tr>
        <w:trPr>
          <w:cantSplit/>
        </w:trPr>
        <w:tc>
          <w:tcPr>
            <w:tcW w:type="dxa" w:w="4745"/>
            <w:tcMar>
              <w:top w:w="50" w:type="dxa"/>
              <w:left w:w="0" w:type="dxa"/>
              <w:bottom w:w="60" w:type="dxa"/>
              <w:right w:w="90" w:type="dxa"/>
            </w:tcMar>
          </w:tcPr>
          <w:p>
            <w:pPr>
              <w:spacing w:before="0" w:after="0" w:line="252" w:lineRule="auto"/>
            </w:pPr>
            <w:r>
              <w:rPr>
                <w:rFonts w:ascii="Consolas" w:hAnsi="Consolas"/>
                <w:color w:val="A8400A"/>
                <w:sz w:val="19"/>
              </w:rPr>
              <w:t>PPRA_FERPA_COPPA_Considerations_Checklist</w:t>
            </w:r>
          </w:p>
        </w:tc>
        <w:tc>
          <w:tcPr>
            <w:tcW w:type="dxa" w:w="5047"/>
            <w:tcMar>
              <w:top w:w="50" w:type="dxa"/>
              <w:left w:w="90" w:type="dxa"/>
              <w:bottom w:w="60" w:type="dxa"/>
              <w:right w:w="90" w:type="dxa"/>
            </w:tcMar>
          </w:tcPr>
          <w:p>
            <w:pPr>
              <w:spacing w:before="0" w:after="0" w:line="252" w:lineRule="auto"/>
            </w:pPr>
            <w:r>
              <w:rPr>
                <w:rFonts w:ascii="Calibri" w:hAnsi="Calibri"/>
                <w:sz w:val="19"/>
              </w:rPr>
              <w:t>A checklist for counsel, including the reported 2026 Department of Education letter on written parental consent for surveys</w:t>
            </w:r>
          </w:p>
        </w:tc>
      </w:tr>
    </w:tbl>
    <w:p>
      <w:pPr>
        <w:spacing w:before="0" w:after="0" w:line="160" w:lineRule="exact"/>
      </w:pPr>
      <w:r>
        <w:rPr>
          <w:sz w:val="2"/>
        </w:rPr>
      </w:r>
    </w:p>
    <w:p>
      <w:pPr>
        <w:pStyle w:val="Heading2"/>
        <w:pBdr>
          <w:top w:val="single" w:sz="18" w:space="6" w:color="FF8A3D"/>
        </w:pBdr>
        <w:spacing w:before="320"/>
      </w:pPr>
      <w:r>
        <w:rPr/>
        <w:t>Order of use</w:t>
      </w:r>
    </w:p>
    <w:p>
      <w:pPr>
        <w:spacing w:before="0" w:after="60"/>
        <w:ind w:left="504" w:hanging="360"/>
      </w:pPr>
      <w:r>
        <w:rPr>
          <w:b/>
          <w:color w:val="2F6F73"/>
        </w:rPr>
        <w:t xml:space="preserve">1. </w:t>
      </w:r>
      <w:r>
        <w:rPr/>
        <w:t>Read the evidence brief and the study design menu. Choose a design you can honestly support.</w:t>
      </w:r>
    </w:p>
    <w:p>
      <w:pPr>
        <w:spacing w:before="0" w:after="60"/>
        <w:ind w:left="504" w:hanging="360"/>
      </w:pPr>
      <w:r>
        <w:rPr>
          <w:b/>
          <w:color w:val="2F6F73"/>
        </w:rPr>
        <w:t xml:space="preserve">2. </w:t>
      </w:r>
      <w:r>
        <w:rPr/>
        <w:t>Talk to your IRB and counsel using the IRB template and the privacy checklist.</w:t>
      </w:r>
    </w:p>
    <w:p>
      <w:pPr>
        <w:spacing w:before="0" w:after="60"/>
        <w:ind w:left="504" w:hanging="360"/>
      </w:pPr>
      <w:r>
        <w:rPr>
          <w:b/>
          <w:color w:val="2F6F73"/>
        </w:rPr>
        <w:t xml:space="preserve">3. </w:t>
      </w:r>
      <w:r>
        <w:rPr/>
        <w:t>Fill in the preregistration before you collect any data.</w:t>
      </w:r>
    </w:p>
    <w:p>
      <w:pPr>
        <w:spacing w:before="0" w:after="60"/>
        <w:ind w:left="504" w:hanging="360"/>
      </w:pPr>
      <w:r>
        <w:rPr>
          <w:b/>
          <w:color w:val="2F6F73"/>
        </w:rPr>
        <w:t xml:space="preserve">4. </w:t>
      </w:r>
      <w:r>
        <w:rPr/>
        <w:t>Use the instruments and codebook unchanged where you can.</w:t>
      </w:r>
    </w:p>
    <w:p>
      <w:pPr>
        <w:spacing w:before="0" w:after="60"/>
        <w:ind w:left="504" w:hanging="360"/>
      </w:pPr>
      <w:r>
        <w:rPr>
          <w:b/>
          <w:color w:val="2F6F73"/>
        </w:rPr>
        <w:t xml:space="preserve">5. </w:t>
      </w:r>
      <w:r>
        <w:rPr/>
        <w:t xml:space="preserve">Practice the analysis on the synthetic data in </w:t>
      </w:r>
      <w:r>
        <w:rPr>
          <w:rFonts w:ascii="Consolas" w:hAnsi="Consolas"/>
          <w:color w:val="A8400A"/>
        </w:rPr>
        <w:t>code/</w:t>
      </w:r>
      <w:r>
        <w:rPr/>
        <w:t>, then run it on your real aggregate tallies.</w:t>
      </w:r>
    </w:p>
    <w:p>
      <w:pPr>
        <w:spacing w:before="0" w:after="60"/>
        <w:ind w:left="504" w:hanging="360"/>
      </w:pPr>
      <w:r>
        <w:rPr>
          <w:b/>
          <w:color w:val="2F6F73"/>
        </w:rPr>
        <w:t xml:space="preserve">6. </w:t>
      </w:r>
      <w:r>
        <w:rPr/>
        <w:t>Write the limits statement before you write the results.</w:t>
      </w:r>
    </w:p>
    <w:p>
      <w:pPr>
        <w:spacing w:before="0" w:after="60"/>
        <w:ind w:left="504" w:hanging="360"/>
      </w:pPr>
      <w:r>
        <w:rPr>
          <w:b/>
          <w:color w:val="2F6F73"/>
        </w:rPr>
        <w:t xml:space="preserve">7. </w:t>
      </w:r>
      <w:r>
        <w:rPr/>
        <w:t>Agree on authorship and data terms before you start.</w:t>
      </w:r>
    </w:p>
    <w:p>
      <w:r>
        <w:rPr>
          <w:i/>
        </w:rPr>
        <w:t>This toolkit is educational guidance, not legal advice.</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COLLEGE EDITION, PART A: RESEARCH AND EVAL...</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College Edition, Part A: Research and Evaluation Toolkit (Start Here)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