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Publication, Authorship and Data and Instruments Licence Policy</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A policy a research partner can sign. It keeps the owner's intellectual property intact, protects researchers' independence, and sets plain rules for authorship, data and instruments. It is a draft for counsel to review before anyone relies on it [COUNSEL TO CONFIRM]. It is not legal advice. Hackles has not been evaluated in a controlled trial and has not been approved by any agency.</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Purpose and parties</w:t>
      </w:r>
    </w:p>
    <w:p>
      <w:r>
        <w:rPr/>
        <w:t>This policy applies to researchers at colleges and other institutions ("the Researchers") who study Hackles teaching or the College Edition course, and to Competence Collective ("the Owner"), which owns and publishes the Hackles kit. It sets expectations before work starts. Each study should attach a one-page agreement that cites this policy [INSTITUTION and OWNER to sign].</w:t>
      </w:r>
    </w:p>
    <w:p>
      <w:pPr>
        <w:pStyle w:val="Heading2"/>
        <w:pBdr>
          <w:top w:val="single" w:sz="18" w:space="6" w:color="FF8A3D"/>
        </w:pBdr>
        <w:spacing w:before="320"/>
      </w:pPr>
      <w:r>
        <w:rPr>
          <w:rFonts w:ascii="Courier New" w:hAnsi="Courier New"/>
          <w:b w:val="0"/>
          <w:color w:val="A8400A"/>
          <w:sz w:val="20"/>
        </w:rPr>
        <w:t xml:space="preserve">02  </w:t>
      </w:r>
      <w:r>
        <w:rPr/>
        <w:t>What the Owner owns, and what the Researchers own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20"/>
        <w:gridCol w:w="2608"/>
        <w:gridCol w:w="3464"/>
      </w:tblGrid>
      <w:tr>
        <w:trPr>
          <w:tblHeader/>
          <w:cantSplit/>
        </w:trPr>
        <w:tc>
          <w:tcPr>
            <w:tcW w:type="dxa" w:w="37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26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 OF THE RIGHTS</w:t>
            </w:r>
          </w:p>
        </w:tc>
        <w:tc>
          <w:tcPr>
            <w:tcW w:type="dxa" w:w="34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TERMS</w:t>
            </w:r>
          </w:p>
        </w:tc>
      </w:tr>
      <w:tr>
        <w:trPr>
          <w:cantSplit/>
        </w:trPr>
        <w:tc>
          <w:tcPr>
            <w:tcW w:type="dxa" w:w="3720"/>
            <w:tcMar>
              <w:top w:w="50" w:type="dxa"/>
              <w:left w:w="0" w:type="dxa"/>
              <w:bottom w:w="60" w:type="dxa"/>
              <w:right w:w="90" w:type="dxa"/>
            </w:tcMar>
          </w:tcPr>
          <w:p>
            <w:pPr>
              <w:spacing w:before="0" w:after="0" w:line="252" w:lineRule="auto"/>
            </w:pPr>
            <w:r>
              <w:rPr>
                <w:rFonts w:ascii="Calibri" w:hAnsi="Calibri"/>
                <w:sz w:val="19"/>
              </w:rPr>
              <w:t>Hackles lesson text, teaching materials, the Teacher Academy, the Concepts Lab, the Facilitator Kit, the Assessment Pack surveys and rubrics, and this College Edition</w:t>
            </w:r>
          </w:p>
        </w:tc>
        <w:tc>
          <w:tcPr>
            <w:tcW w:type="dxa" w:w="2608"/>
            <w:tcMar>
              <w:top w:w="50" w:type="dxa"/>
              <w:left w:w="90" w:type="dxa"/>
              <w:bottom w:w="60" w:type="dxa"/>
              <w:right w:w="90" w:type="dxa"/>
            </w:tcMar>
          </w:tcPr>
          <w:p>
            <w:pPr>
              <w:spacing w:before="0" w:after="0" w:line="252" w:lineRule="auto"/>
            </w:pPr>
            <w:r>
              <w:rPr>
                <w:rFonts w:ascii="Calibri" w:hAnsi="Calibri"/>
                <w:sz w:val="19"/>
              </w:rPr>
              <w:t>Competence Collective</w:t>
            </w:r>
          </w:p>
        </w:tc>
        <w:tc>
          <w:tcPr>
            <w:tcW w:type="dxa" w:w="3464"/>
            <w:tcMar>
              <w:top w:w="50" w:type="dxa"/>
              <w:left w:w="90" w:type="dxa"/>
              <w:bottom w:w="60" w:type="dxa"/>
              <w:right w:w="90" w:type="dxa"/>
            </w:tcMar>
          </w:tcPr>
          <w:p>
            <w:pPr>
              <w:spacing w:before="0" w:after="0" w:line="252" w:lineRule="auto"/>
            </w:pPr>
            <w:r>
              <w:rPr>
                <w:rFonts w:ascii="Calibri" w:hAnsi="Calibri"/>
                <w:sz w:val="19"/>
              </w:rPr>
              <w:t>CC BY-NC 4.0: free to print, share and adapt for non-commercial use with credit</w:t>
            </w:r>
          </w:p>
        </w:tc>
      </w:tr>
      <w:tr>
        <w:trPr>
          <w:cantSplit/>
        </w:trPr>
        <w:tc>
          <w:tcPr>
            <w:tcW w:type="dxa" w:w="3720"/>
            <w:tcMar>
              <w:top w:w="50" w:type="dxa"/>
              <w:left w:w="0" w:type="dxa"/>
              <w:bottom w:w="60" w:type="dxa"/>
              <w:right w:w="90" w:type="dxa"/>
            </w:tcMar>
          </w:tcPr>
          <w:p>
            <w:pPr>
              <w:spacing w:before="0" w:after="0" w:line="252" w:lineRule="auto"/>
            </w:pPr>
            <w:r>
              <w:rPr>
                <w:rFonts w:ascii="Calibri" w:hAnsi="Calibri"/>
                <w:sz w:val="19"/>
              </w:rPr>
              <w:t xml:space="preserve">The </w:t>
            </w:r>
            <w:r>
              <w:rPr>
                <w:rFonts w:ascii="Calibri" w:hAnsi="Calibri"/>
                <w:b/>
                <w:sz w:val="19"/>
              </w:rPr>
              <w:t>Hackles name, logos, characters and artwork</w:t>
            </w:r>
          </w:p>
        </w:tc>
        <w:tc>
          <w:tcPr>
            <w:tcW w:type="dxa" w:w="2608"/>
            <w:tcMar>
              <w:top w:w="50" w:type="dxa"/>
              <w:left w:w="90" w:type="dxa"/>
              <w:bottom w:w="60" w:type="dxa"/>
              <w:right w:w="90" w:type="dxa"/>
            </w:tcMar>
          </w:tcPr>
          <w:p>
            <w:pPr>
              <w:spacing w:before="0" w:after="0" w:line="252" w:lineRule="auto"/>
            </w:pPr>
            <w:r>
              <w:rPr>
                <w:rFonts w:ascii="Calibri" w:hAnsi="Calibri"/>
                <w:sz w:val="19"/>
              </w:rPr>
              <w:t>Competence Collective</w:t>
            </w:r>
          </w:p>
        </w:tc>
        <w:tc>
          <w:tcPr>
            <w:tcW w:type="dxa" w:w="3464"/>
            <w:tcMar>
              <w:top w:w="50" w:type="dxa"/>
              <w:left w:w="90" w:type="dxa"/>
              <w:bottom w:w="60" w:type="dxa"/>
              <w:right w:w="90" w:type="dxa"/>
            </w:tcMar>
          </w:tcPr>
          <w:p>
            <w:pPr>
              <w:spacing w:before="0" w:after="0" w:line="252" w:lineRule="auto"/>
            </w:pPr>
            <w:r>
              <w:rPr>
                <w:rFonts w:ascii="Calibri" w:hAnsi="Calibri"/>
                <w:b/>
                <w:sz w:val="19"/>
              </w:rPr>
              <w:t>Not covered by that license.</w:t>
            </w:r>
            <w:r>
              <w:rPr>
                <w:rFonts w:ascii="Calibri" w:hAnsi="Calibri"/>
                <w:sz w:val="19"/>
              </w:rPr>
              <w:t xml:space="preserve"> Print and share them unaltered for classroom and family use. Any other use needs written permission</w:t>
            </w:r>
          </w:p>
        </w:tc>
      </w:tr>
      <w:tr>
        <w:trPr>
          <w:cantSplit/>
        </w:trPr>
        <w:tc>
          <w:tcPr>
            <w:tcW w:type="dxa" w:w="3720"/>
            <w:tcMar>
              <w:top w:w="50" w:type="dxa"/>
              <w:left w:w="0" w:type="dxa"/>
              <w:bottom w:w="60" w:type="dxa"/>
              <w:right w:w="90" w:type="dxa"/>
            </w:tcMar>
          </w:tcPr>
          <w:p>
            <w:pPr>
              <w:spacing w:before="0" w:after="0" w:line="252" w:lineRule="auto"/>
            </w:pPr>
            <w:r>
              <w:rPr>
                <w:rFonts w:ascii="Calibri" w:hAnsi="Calibri"/>
                <w:sz w:val="19"/>
              </w:rPr>
              <w:t>The Researchers' study design, preregistration, analysis code and manuscripts</w:t>
            </w:r>
          </w:p>
        </w:tc>
        <w:tc>
          <w:tcPr>
            <w:tcW w:type="dxa" w:w="2608"/>
            <w:tcMar>
              <w:top w:w="50" w:type="dxa"/>
              <w:left w:w="90" w:type="dxa"/>
              <w:bottom w:w="60" w:type="dxa"/>
              <w:right w:w="90" w:type="dxa"/>
            </w:tcMar>
          </w:tcPr>
          <w:p>
            <w:pPr>
              <w:spacing w:before="0" w:after="0" w:line="252" w:lineRule="auto"/>
            </w:pPr>
            <w:r>
              <w:rPr>
                <w:rFonts w:ascii="Calibri" w:hAnsi="Calibri"/>
                <w:sz w:val="19"/>
              </w:rPr>
              <w:t>The Researchers and their institution</w:t>
            </w:r>
          </w:p>
        </w:tc>
        <w:tc>
          <w:tcPr>
            <w:tcW w:type="dxa" w:w="3464"/>
            <w:tcMar>
              <w:top w:w="50" w:type="dxa"/>
              <w:left w:w="90" w:type="dxa"/>
              <w:bottom w:w="60" w:type="dxa"/>
              <w:right w:w="90" w:type="dxa"/>
            </w:tcMar>
          </w:tcPr>
          <w:p>
            <w:pPr>
              <w:spacing w:before="0" w:after="0" w:line="252" w:lineRule="auto"/>
            </w:pPr>
            <w:r>
              <w:rPr>
                <w:rFonts w:ascii="Calibri" w:hAnsi="Calibri"/>
                <w:sz w:val="19"/>
              </w:rPr>
              <w:t>Their own; may carry any license they choose, except that they may not claim ownership of Owner materials quoted or reproduced inside them</w:t>
            </w:r>
          </w:p>
        </w:tc>
      </w:tr>
      <w:tr>
        <w:trPr>
          <w:cantSplit/>
        </w:trPr>
        <w:tc>
          <w:tcPr>
            <w:tcW w:type="dxa" w:w="3720"/>
            <w:tcMar>
              <w:top w:w="50" w:type="dxa"/>
              <w:left w:w="0" w:type="dxa"/>
              <w:bottom w:w="60" w:type="dxa"/>
              <w:right w:w="90" w:type="dxa"/>
            </w:tcMar>
          </w:tcPr>
          <w:p>
            <w:pPr>
              <w:spacing w:before="0" w:after="0" w:line="252" w:lineRule="auto"/>
            </w:pPr>
            <w:r>
              <w:rPr>
                <w:rFonts w:ascii="Calibri" w:hAnsi="Calibri"/>
                <w:sz w:val="19"/>
              </w:rPr>
              <w:t>Data the Researchers collect</w:t>
            </w:r>
          </w:p>
        </w:tc>
        <w:tc>
          <w:tcPr>
            <w:tcW w:type="dxa" w:w="2608"/>
            <w:tcMar>
              <w:top w:w="50" w:type="dxa"/>
              <w:left w:w="90" w:type="dxa"/>
              <w:bottom w:w="60" w:type="dxa"/>
              <w:right w:w="90" w:type="dxa"/>
            </w:tcMar>
          </w:tcPr>
          <w:p>
            <w:pPr>
              <w:spacing w:before="0" w:after="0" w:line="252" w:lineRule="auto"/>
            </w:pPr>
            <w:r>
              <w:rPr>
                <w:rFonts w:ascii="Calibri" w:hAnsi="Calibri"/>
                <w:sz w:val="19"/>
              </w:rPr>
              <w:t>The Researchers and their institution, subject to participant consent, IRB terms and privacy law</w:t>
            </w:r>
          </w:p>
        </w:tc>
        <w:tc>
          <w:tcPr>
            <w:tcW w:type="dxa" w:w="3464"/>
            <w:tcMar>
              <w:top w:w="50" w:type="dxa"/>
              <w:left w:w="90" w:type="dxa"/>
              <w:bottom w:w="60" w:type="dxa"/>
              <w:right w:w="90" w:type="dxa"/>
            </w:tcMar>
          </w:tcPr>
          <w:p>
            <w:pPr>
              <w:spacing w:before="0" w:after="0" w:line="252" w:lineRule="auto"/>
            </w:pPr>
            <w:r>
              <w:rPr>
                <w:rFonts w:ascii="Calibri" w:hAnsi="Calibri"/>
                <w:sz w:val="19"/>
              </w:rPr>
              <w:t>See Section 6</w:t>
            </w:r>
          </w:p>
        </w:tc>
      </w:tr>
      <w:tr>
        <w:trPr>
          <w:cantSplit/>
        </w:trPr>
        <w:tc>
          <w:tcPr>
            <w:tcW w:type="dxa" w:w="3720"/>
            <w:tcMar>
              <w:top w:w="50" w:type="dxa"/>
              <w:left w:w="0" w:type="dxa"/>
              <w:bottom w:w="60" w:type="dxa"/>
              <w:right w:w="90" w:type="dxa"/>
            </w:tcMar>
          </w:tcPr>
          <w:p>
            <w:pPr>
              <w:spacing w:before="0" w:after="0" w:line="252" w:lineRule="auto"/>
            </w:pPr>
            <w:r>
              <w:rPr>
                <w:rFonts w:ascii="Calibri" w:hAnsi="Calibri"/>
                <w:sz w:val="19"/>
              </w:rPr>
              <w:t>Adaptations of Owner instruments</w:t>
            </w:r>
          </w:p>
        </w:tc>
        <w:tc>
          <w:tcPr>
            <w:tcW w:type="dxa" w:w="2608"/>
            <w:tcMar>
              <w:top w:w="50" w:type="dxa"/>
              <w:left w:w="90" w:type="dxa"/>
              <w:bottom w:w="60" w:type="dxa"/>
              <w:right w:w="90" w:type="dxa"/>
            </w:tcMar>
          </w:tcPr>
          <w:p>
            <w:pPr>
              <w:spacing w:before="0" w:after="0" w:line="252" w:lineRule="auto"/>
            </w:pPr>
            <w:r>
              <w:rPr>
                <w:rFonts w:ascii="Calibri" w:hAnsi="Calibri"/>
                <w:sz w:val="19"/>
              </w:rPr>
              <w:t>Adapter owns only the new material; the Owner keeps rights in the original text</w:t>
            </w:r>
          </w:p>
        </w:tc>
        <w:tc>
          <w:tcPr>
            <w:tcW w:type="dxa" w:w="3464"/>
            <w:tcMar>
              <w:top w:w="50" w:type="dxa"/>
              <w:left w:w="90" w:type="dxa"/>
              <w:bottom w:w="60" w:type="dxa"/>
              <w:right w:w="90" w:type="dxa"/>
            </w:tcMar>
          </w:tcPr>
          <w:p>
            <w:pPr>
              <w:spacing w:before="0" w:after="0" w:line="252" w:lineRule="auto"/>
            </w:pPr>
            <w:r>
              <w:rPr>
                <w:rFonts w:ascii="Calibri" w:hAnsi="Calibri"/>
                <w:sz w:val="19"/>
              </w:rPr>
              <w:t>Must be labeled "adapted from the Hackles Assessment Pack" and carry the same CC BY-NC 4.0 notice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Using the Hackles name and materials in publications</w:t>
      </w:r>
    </w:p>
    <w:p>
      <w:pPr>
        <w:pStyle w:val="ListBullet"/>
      </w:pPr>
      <w:r>
        <w:rPr>
          <w:b/>
        </w:rPr>
        <w:t>Naming the curriculum.</w:t>
      </w:r>
      <w:r>
        <w:rPr/>
        <w:t xml:space="preserve"> Researchers may refer to "Hackles" and "the Hackles Assessment Pack" by name to describe what they studied, accurately and without implying endorsement [COUNSEL TO CONFIRM; the HACKLES trademark has not been cleared, and the kit's Round 1 check did not attempt trademark clearance].</w:t>
      </w:r>
    </w:p>
    <w:p>
      <w:pPr>
        <w:pStyle w:val="ListBullet"/>
      </w:pPr>
      <w:r>
        <w:rPr>
          <w:b/>
        </w:rPr>
        <w:t>No logos or artwork</w:t>
      </w:r>
      <w:r>
        <w:rPr/>
        <w:t xml:space="preserve"> in papers, posters or slides without written permission, except unaltered use in classroom or family materials the study describes.</w:t>
      </w:r>
    </w:p>
    <w:p>
      <w:pPr>
        <w:pStyle w:val="ListBullet"/>
      </w:pPr>
      <w:r>
        <w:rPr>
          <w:b/>
        </w:rPr>
        <w:t>No implied approval.</w:t>
      </w:r>
      <w:r>
        <w:rPr/>
        <w:t xml:space="preserve"> Do not say or imply that Hackles has been evaluated, validated, certified, approved or endorsed by any agency, school district, funder or the Owner. The Owner has not endorsed any study unless it says so in writing.</w:t>
      </w:r>
    </w:p>
    <w:p>
      <w:pPr>
        <w:pStyle w:val="ListBullet"/>
      </w:pPr>
      <w:r>
        <w:rPr>
          <w:b/>
        </w:rPr>
        <w:t>Credit line.</w:t>
      </w:r>
      <w:r>
        <w:rPr/>
        <w:t xml:space="preserve"> Reproduce the notice from any Owner material you quote: "©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pPr>
        <w:pStyle w:val="ListBullet"/>
      </w:pPr>
      <w:r>
        <w:rPr>
          <w:b/>
        </w:rPr>
        <w:t>Honest status statement.</w:t>
      </w:r>
      <w:r>
        <w:rPr/>
        <w:t xml:space="preserve"> Every publication, preregistration and IRB protocol states that no controlled trial of Hackles had been completed before the study [VERIFY at the time of writing], and uses the limits statement template.</w:t>
      </w:r>
    </w:p>
    <w:p>
      <w:pPr>
        <w:pStyle w:val="Heading2"/>
        <w:pBdr>
          <w:top w:val="single" w:sz="18" w:space="6" w:color="FF8A3D"/>
        </w:pBdr>
        <w:spacing w:before="320"/>
      </w:pPr>
      <w:r>
        <w:rPr>
          <w:rFonts w:ascii="Courier New" w:hAnsi="Courier New"/>
          <w:b w:val="0"/>
          <w:color w:val="A8400A"/>
          <w:sz w:val="20"/>
        </w:rPr>
        <w:t xml:space="preserve">04  </w:t>
      </w:r>
      <w:r>
        <w:rPr/>
        <w:t>Independence and the courtesy review</w:t>
      </w:r>
    </w:p>
    <w:p>
      <w:pPr>
        <w:pStyle w:val="ListBullet"/>
      </w:pPr>
      <w:r>
        <w:rPr>
          <w:b/>
        </w:rPr>
        <w:t>Right to publish.</w:t>
      </w:r>
      <w:r>
        <w:rPr/>
        <w:t xml:space="preserve"> Researchers decide what to report, including null, negative and unwelcome results. The Owner has no veto over findings, interpretation or conclusions.</w:t>
      </w:r>
    </w:p>
    <w:p>
      <w:pPr>
        <w:pStyle w:val="ListBullet"/>
      </w:pPr>
      <w:r>
        <w:rPr>
          <w:b/>
        </w:rPr>
        <w:t>Courtesy review.</w:t>
      </w:r>
      <w:r>
        <w:rPr/>
        <w:t xml:space="preserve"> Researchers offer the Owner the manuscript, poster or report at least </w:t>
      </w:r>
      <w:r>
        <w:rPr>
          <w:b/>
        </w:rPr>
        <w:t>30 days</w:t>
      </w:r>
      <w:r>
        <w:rPr/>
        <w:t xml:space="preserve"> before submission, </w:t>
      </w:r>
      <w:r>
        <w:rPr>
          <w:b/>
        </w:rPr>
        <w:t>only</w:t>
      </w:r>
      <w:r>
        <w:rPr/>
        <w:t xml:space="preserve"> to check (a) factual descriptions of the kit, (b) correct use of the Owner's name, credit lines and materials, and (c) that no Owner IP is misused. The Owner may suggest corrections of fact. The Researchers decide what to change. The Owner may not require changes to results or conclusions. If the Owner does not reply within 30 days, the Researchers may proceed.</w:t>
      </w:r>
    </w:p>
    <w:p>
      <w:pPr>
        <w:pStyle w:val="ListBullet"/>
      </w:pPr>
      <w:r>
        <w:rPr>
          <w:b/>
        </w:rPr>
        <w:t>Funding and conflicts.</w:t>
      </w:r>
      <w:r>
        <w:rPr/>
        <w:t xml:space="preserve"> Researchers declare any funding or link to the Owner. The Owner discloses any funding or role it provided. If the Owner or an affiliated person wishes to be an author, see Section 5.</w:t>
      </w:r>
    </w:p>
    <w:p>
      <w:pPr>
        <w:pStyle w:val="ListBullet"/>
      </w:pPr>
      <w:r>
        <w:rPr>
          <w:b/>
        </w:rPr>
        <w:t>Independent analysis.</w:t>
      </w:r>
      <w:r>
        <w:rPr/>
        <w:t xml:space="preserve"> If an author is affiliated with the Owner, an independent person on the team runs and checks the primary analysis, and the analysis plan is preregistered before data are seen.</w:t>
      </w:r>
    </w:p>
    <w:p>
      <w:pPr>
        <w:pStyle w:val="ListBullet"/>
      </w:pPr>
      <w:r>
        <w:rPr>
          <w:b/>
        </w:rPr>
        <w:t>No payment for results.</w:t>
      </w:r>
      <w:r>
        <w:rPr/>
        <w:t xml:space="preserve"> No one is paid, or promised anything, contingent on a favorable result.</w:t>
      </w:r>
    </w:p>
    <w:p>
      <w:pPr>
        <w:pStyle w:val="Heading2"/>
        <w:pBdr>
          <w:top w:val="single" w:sz="18" w:space="6" w:color="FF8A3D"/>
        </w:pBdr>
        <w:spacing w:before="320"/>
      </w:pPr>
      <w:r>
        <w:rPr>
          <w:rFonts w:ascii="Courier New" w:hAnsi="Courier New"/>
          <w:b w:val="0"/>
          <w:color w:val="A8400A"/>
          <w:sz w:val="20"/>
        </w:rPr>
        <w:t xml:space="preserve">05  </w:t>
      </w:r>
      <w:r>
        <w:rPr/>
        <w:t>Authorship</w:t>
      </w:r>
    </w:p>
    <w:p>
      <w:pPr>
        <w:pStyle w:val="ListBullet"/>
      </w:pPr>
      <w:r>
        <w:rPr>
          <w:b/>
        </w:rPr>
        <w:t>Criteria.</w:t>
      </w:r>
      <w:r>
        <w:rPr/>
        <w:t xml:space="preserve"> Authorship follows widely used criteria: a substantial contribution to the design, data or analysis; drafting or critically revising the work; approval of the final version; and accountability for the work [VERIFY: the ICMJE recommendations, or the CRediT contributor roles, as your institution prefers]. Everyone who meets the criteria is invited to be an author, and everyone listed meets them.</w:t>
      </w:r>
    </w:p>
    <w:p>
      <w:pPr>
        <w:pStyle w:val="ListBullet"/>
      </w:pPr>
      <w:r>
        <w:rPr>
          <w:b/>
        </w:rPr>
        <w:t>Order.</w:t>
      </w:r>
      <w:r>
        <w:rPr/>
        <w:t xml:space="preserve"> Agree author order, corresponding author and acknowledgments in writing </w:t>
      </w:r>
      <w:r>
        <w:rPr>
          <w:b/>
        </w:rPr>
        <w:t>before data collection</w:t>
      </w:r>
      <w:r>
        <w:rPr/>
        <w:t>, and revisit if roles change. Disputes go to a neutral senior colleague or the institution's research integrity office.</w:t>
      </w:r>
    </w:p>
    <w:p>
      <w:pPr>
        <w:pStyle w:val="ListBullet"/>
      </w:pPr>
      <w:r>
        <w:rPr>
          <w:b/>
        </w:rPr>
        <w:t>Students as authors.</w:t>
      </w:r>
      <w:r>
        <w:rPr/>
        <w:t xml:space="preserve"> Candidates and graduate students who contribute substantially may be authors. Do not require students to contribute data or authorship as a course requirement or in return for a grade.</w:t>
      </w:r>
    </w:p>
    <w:p>
      <w:pPr>
        <w:pStyle w:val="ListBullet"/>
      </w:pPr>
      <w:r>
        <w:rPr>
          <w:b/>
        </w:rPr>
        <w:t>Teachers and counselors.</w:t>
      </w:r>
      <w:r>
        <w:rPr/>
        <w:t xml:space="preserve"> Teachers who contribute to design or interpretation may be authors. Others, including mentor teachers, site hosts, the counselor partner and the independent data custodian, are acknowledged by role with their permission.</w:t>
      </w:r>
    </w:p>
    <w:p>
      <w:pPr>
        <w:pStyle w:val="ListBullet"/>
      </w:pPr>
      <w:r>
        <w:rPr>
          <w:b/>
        </w:rPr>
        <w:t>The Hackles team.</w:t>
      </w:r>
      <w:r>
        <w:rPr/>
        <w:t xml:space="preserve"> The Owner is acknowledged as the source of the kit. If staff meet the criteria, they may be authors, with a declared conflict.</w:t>
      </w:r>
    </w:p>
    <w:p>
      <w:pPr>
        <w:pStyle w:val="ListBullet"/>
      </w:pPr>
      <w:r>
        <w:rPr>
          <w:b/>
        </w:rPr>
        <w:t>Participants.</w:t>
      </w:r>
      <w:r>
        <w:rPr/>
        <w:t xml:space="preserve"> No participant is named. Schools and teachers are not named unless they agree in writing.</w:t>
      </w:r>
    </w:p>
    <w:p>
      <w:pPr>
        <w:pStyle w:val="ListBullet"/>
      </w:pPr>
      <w:r>
        <w:rPr>
          <w:b/>
        </w:rPr>
        <w:t>Use of generative AI.</w:t>
      </w:r>
      <w:r>
        <w:rPr/>
        <w:t xml:space="preserve"> Authors are responsible for every claim. AI tools are not authors. Disclose any use in the methods or acknowledgments, in line with the journal's policy. Never enter participant data or study records into an AI tool.</w:t>
      </w:r>
    </w:p>
    <w:p>
      <w:pPr>
        <w:pStyle w:val="Heading2"/>
        <w:pBdr>
          <w:top w:val="single" w:sz="18" w:space="6" w:color="FF8A3D"/>
        </w:pBdr>
        <w:spacing w:before="320"/>
      </w:pPr>
      <w:r>
        <w:rPr>
          <w:rFonts w:ascii="Courier New" w:hAnsi="Courier New"/>
          <w:b w:val="0"/>
          <w:color w:val="A8400A"/>
          <w:sz w:val="20"/>
        </w:rPr>
        <w:t xml:space="preserve">06  </w:t>
      </w:r>
      <w:r>
        <w:rPr/>
        <w:t>Data licence and sharing</w:t>
      </w:r>
    </w:p>
    <w:p>
      <w:r>
        <w:rPr>
          <w:b/>
        </w:rPr>
        <w:t>Principles.</w:t>
      </w:r>
      <w:r>
        <w:rPr/>
        <w:t xml:space="preserve"> Privacy comes first. Data that could identify a student, a teacher or a small class are never shared.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32"/>
        <w:gridCol w:w="6360"/>
      </w:tblGrid>
      <w:tr>
        <w:trPr>
          <w:tblHeader/>
          <w:cantSplit/>
        </w:trPr>
        <w:tc>
          <w:tcPr>
            <w:tcW w:type="dxa" w:w="34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DATA TYPE</w:t>
            </w:r>
          </w:p>
        </w:tc>
        <w:tc>
          <w:tcPr>
            <w:tcW w:type="dxa" w:w="63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SHARING RULE</w:t>
            </w:r>
          </w:p>
        </w:tc>
      </w:tr>
      <w:tr>
        <w:trPr>
          <w:cantSplit/>
        </w:trPr>
        <w:tc>
          <w:tcPr>
            <w:tcW w:type="dxa" w:w="3432"/>
            <w:tcMar>
              <w:top w:w="50" w:type="dxa"/>
              <w:left w:w="0" w:type="dxa"/>
              <w:bottom w:w="60" w:type="dxa"/>
              <w:right w:w="90" w:type="dxa"/>
            </w:tcMar>
          </w:tcPr>
          <w:p>
            <w:pPr>
              <w:spacing w:before="0" w:after="0" w:line="252" w:lineRule="auto"/>
            </w:pPr>
            <w:r>
              <w:rPr>
                <w:rFonts w:ascii="Calibri" w:hAnsi="Calibri"/>
                <w:sz w:val="19"/>
              </w:rPr>
              <w:t>Aggregate class tallies (counts only, with study codes, suppression of groups under 10 [VERIFY district rule])</w:t>
            </w:r>
          </w:p>
        </w:tc>
        <w:tc>
          <w:tcPr>
            <w:tcW w:type="dxa" w:w="6360"/>
            <w:tcMar>
              <w:top w:w="50" w:type="dxa"/>
              <w:left w:w="90" w:type="dxa"/>
              <w:bottom w:w="60" w:type="dxa"/>
              <w:right w:w="90" w:type="dxa"/>
            </w:tcMar>
          </w:tcPr>
          <w:p>
            <w:pPr>
              <w:spacing w:before="0" w:after="0" w:line="252" w:lineRule="auto"/>
            </w:pPr>
            <w:r>
              <w:rPr>
                <w:rFonts w:ascii="Calibri" w:hAnsi="Calibri"/>
                <w:sz w:val="19"/>
              </w:rPr>
              <w:t xml:space="preserve">May be shared in a public repository after IRB and school agreement. Recommended license: </w:t>
            </w:r>
            <w:r>
              <w:rPr>
                <w:rFonts w:ascii="Calibri" w:hAnsi="Calibri"/>
                <w:b/>
                <w:sz w:val="19"/>
              </w:rPr>
              <w:t>CC BY-NC 4.0</w:t>
            </w:r>
            <w:r>
              <w:rPr>
                <w:rFonts w:ascii="Calibri" w:hAnsi="Calibri"/>
                <w:sz w:val="19"/>
              </w:rPr>
              <w:t xml:space="preserve"> with attribution to the Researchers. Because the files contain Owner instrument wording or item labels, they also carry the Owner's CC BY-NC 4.0 notice</w:t>
            </w:r>
          </w:p>
        </w:tc>
      </w:tr>
      <w:tr>
        <w:trPr>
          <w:cantSplit/>
        </w:trPr>
        <w:tc>
          <w:tcPr>
            <w:tcW w:type="dxa" w:w="3432"/>
            <w:tcMar>
              <w:top w:w="50" w:type="dxa"/>
              <w:left w:w="0" w:type="dxa"/>
              <w:bottom w:w="60" w:type="dxa"/>
              <w:right w:w="90" w:type="dxa"/>
            </w:tcMar>
          </w:tcPr>
          <w:p>
            <w:pPr>
              <w:spacing w:before="0" w:after="0" w:line="252" w:lineRule="auto"/>
            </w:pPr>
            <w:r>
              <w:rPr>
                <w:rFonts w:ascii="Calibri" w:hAnsi="Calibri"/>
                <w:sz w:val="19"/>
              </w:rPr>
              <w:t>Adult survey data (candidates, teachers)</w:t>
            </w:r>
          </w:p>
        </w:tc>
        <w:tc>
          <w:tcPr>
            <w:tcW w:type="dxa" w:w="6360"/>
            <w:tcMar>
              <w:top w:w="50" w:type="dxa"/>
              <w:left w:w="90" w:type="dxa"/>
              <w:bottom w:w="60" w:type="dxa"/>
              <w:right w:w="90" w:type="dxa"/>
            </w:tcMar>
          </w:tcPr>
          <w:p>
            <w:pPr>
              <w:spacing w:before="0" w:after="0" w:line="252" w:lineRule="auto"/>
            </w:pPr>
            <w:r>
              <w:rPr>
                <w:rFonts w:ascii="Calibri" w:hAnsi="Calibri"/>
                <w:sz w:val="19"/>
              </w:rPr>
              <w:t>Share only de-identified, aggregated or coarsened data, and only if the consent form says so. Otherwise share a synthetic or summary dataset</w:t>
            </w:r>
          </w:p>
        </w:tc>
      </w:tr>
      <w:tr>
        <w:trPr>
          <w:cantSplit/>
        </w:trPr>
        <w:tc>
          <w:tcPr>
            <w:tcW w:type="dxa" w:w="3432"/>
            <w:tcMar>
              <w:top w:w="50" w:type="dxa"/>
              <w:left w:w="0" w:type="dxa"/>
              <w:bottom w:w="60" w:type="dxa"/>
              <w:right w:w="90" w:type="dxa"/>
            </w:tcMar>
          </w:tcPr>
          <w:p>
            <w:pPr>
              <w:spacing w:before="0" w:after="0" w:line="252" w:lineRule="auto"/>
            </w:pPr>
            <w:r>
              <w:rPr>
                <w:rFonts w:ascii="Calibri" w:hAnsi="Calibri"/>
                <w:sz w:val="19"/>
              </w:rPr>
              <w:t>Student-level data (only if the protocol allowed it)</w:t>
            </w:r>
          </w:p>
        </w:tc>
        <w:tc>
          <w:tcPr>
            <w:tcW w:type="dxa" w:w="6360"/>
            <w:tcMar>
              <w:top w:w="50" w:type="dxa"/>
              <w:left w:w="90" w:type="dxa"/>
              <w:bottom w:w="60" w:type="dxa"/>
              <w:right w:w="90" w:type="dxa"/>
            </w:tcMar>
          </w:tcPr>
          <w:p>
            <w:pPr>
              <w:spacing w:before="0" w:after="0" w:line="252" w:lineRule="auto"/>
            </w:pPr>
            <w:r>
              <w:rPr>
                <w:rFonts w:ascii="Calibri" w:hAnsi="Calibri"/>
                <w:sz w:val="19"/>
              </w:rPr>
              <w:t>Do not share publicly. Offer a restricted-access process through the institution's data governance, if consent and law allow [COUNSEL TO CONFIRM]</w:t>
            </w:r>
          </w:p>
        </w:tc>
      </w:tr>
      <w:tr>
        <w:trPr>
          <w:cantSplit/>
        </w:trPr>
        <w:tc>
          <w:tcPr>
            <w:tcW w:type="dxa" w:w="3432"/>
            <w:tcMar>
              <w:top w:w="50" w:type="dxa"/>
              <w:left w:w="0" w:type="dxa"/>
              <w:bottom w:w="60" w:type="dxa"/>
              <w:right w:w="90" w:type="dxa"/>
            </w:tcMar>
          </w:tcPr>
          <w:p>
            <w:pPr>
              <w:spacing w:before="0" w:after="0" w:line="252" w:lineRule="auto"/>
            </w:pPr>
            <w:r>
              <w:rPr>
                <w:rFonts w:ascii="Calibri" w:hAnsi="Calibri"/>
                <w:sz w:val="19"/>
              </w:rPr>
              <w:t>Qualitative transcripts</w:t>
            </w:r>
          </w:p>
        </w:tc>
        <w:tc>
          <w:tcPr>
            <w:tcW w:type="dxa" w:w="6360"/>
            <w:tcMar>
              <w:top w:w="50" w:type="dxa"/>
              <w:left w:w="90" w:type="dxa"/>
              <w:bottom w:w="60" w:type="dxa"/>
              <w:right w:w="90" w:type="dxa"/>
            </w:tcMar>
          </w:tcPr>
          <w:p>
            <w:pPr>
              <w:spacing w:before="0" w:after="0" w:line="252" w:lineRule="auto"/>
            </w:pPr>
            <w:r>
              <w:rPr>
                <w:rFonts w:ascii="Calibri" w:hAnsi="Calibri"/>
                <w:sz w:val="19"/>
              </w:rPr>
              <w:t>Do not share raw transcripts. Share the codebook and anonymized excerpts approved by the participants</w:t>
            </w:r>
          </w:p>
        </w:tc>
      </w:tr>
      <w:tr>
        <w:trPr>
          <w:cantSplit/>
        </w:trPr>
        <w:tc>
          <w:tcPr>
            <w:tcW w:type="dxa" w:w="3432"/>
            <w:tcMar>
              <w:top w:w="50" w:type="dxa"/>
              <w:left w:w="0" w:type="dxa"/>
              <w:bottom w:w="60" w:type="dxa"/>
              <w:right w:w="90" w:type="dxa"/>
            </w:tcMar>
          </w:tcPr>
          <w:p>
            <w:pPr>
              <w:spacing w:before="0" w:after="0" w:line="252" w:lineRule="auto"/>
            </w:pPr>
            <w:r>
              <w:rPr>
                <w:rFonts w:ascii="Calibri" w:hAnsi="Calibri"/>
                <w:sz w:val="19"/>
              </w:rPr>
              <w:t>Analysis code and synthetic data</w:t>
            </w:r>
          </w:p>
        </w:tc>
        <w:tc>
          <w:tcPr>
            <w:tcW w:type="dxa" w:w="6360"/>
            <w:tcMar>
              <w:top w:w="50" w:type="dxa"/>
              <w:left w:w="90" w:type="dxa"/>
              <w:bottom w:w="60" w:type="dxa"/>
              <w:right w:w="90" w:type="dxa"/>
            </w:tcMar>
          </w:tcPr>
          <w:p>
            <w:pPr>
              <w:spacing w:before="0" w:after="0" w:line="252" w:lineRule="auto"/>
            </w:pPr>
            <w:r>
              <w:rPr>
                <w:rFonts w:ascii="Calibri" w:hAnsi="Calibri"/>
                <w:sz w:val="19"/>
              </w:rPr>
              <w:t>Share freely under a permissive or CC BY-NC license of the Researchers' choice</w:t>
            </w:r>
          </w:p>
        </w:tc>
      </w:tr>
    </w:tbl>
    <w:p>
      <w:pPr>
        <w:spacing w:before="0" w:after="0" w:line="160" w:lineRule="exact"/>
      </w:pPr>
      <w:r>
        <w:rPr>
          <w:sz w:val="2"/>
        </w:rPr>
      </w:r>
    </w:p>
    <w:p>
      <w:r>
        <w:rPr>
          <w:b/>
        </w:rPr>
        <w:t>Terms that travel with the data.</w:t>
      </w:r>
    </w:p>
    <w:p>
      <w:pPr>
        <w:pStyle w:val="ListBullet"/>
      </w:pPr>
      <w:r>
        <w:rPr/>
        <w:t>Attribution to the Researchers and the Owner's notice.</w:t>
      </w:r>
    </w:p>
    <w:p>
      <w:pPr>
        <w:pStyle w:val="ListBullet"/>
      </w:pPr>
      <w:r>
        <w:rPr>
          <w:b/>
        </w:rPr>
        <w:t>Non-commercial use only</w:t>
      </w:r>
      <w:r>
        <w:rPr/>
        <w:t xml:space="preserve"> for any file containing Owner instrument wording.</w:t>
      </w:r>
    </w:p>
    <w:p>
      <w:pPr>
        <w:pStyle w:val="ListBullet"/>
      </w:pPr>
      <w:r>
        <w:rPr/>
        <w:t>No attempt to re-identify any participant, class, teacher or school. Anyone who receives the data agrees to that.</w:t>
      </w:r>
    </w:p>
    <w:p>
      <w:pPr>
        <w:pStyle w:val="ListBullet"/>
      </w:pPr>
      <w:r>
        <w:rPr/>
        <w:t>Users may not use the data or instruments to build a competing commercial product from Owner materials without written permission [COUNSEL TO CONFIRM].</w:t>
      </w:r>
    </w:p>
    <w:p>
      <w:pPr>
        <w:pStyle w:val="ListBullet"/>
      </w:pPr>
      <w:r>
        <w:rPr/>
        <w:t>Researchers keep the right to use their own data in their own work.</w:t>
      </w:r>
    </w:p>
    <w:p>
      <w:r>
        <w:rPr>
          <w:b/>
        </w:rPr>
        <w:t>Retention.</w:t>
      </w:r>
      <w:r>
        <w:rPr/>
        <w:t xml:space="preserve"> Follow the IRB-approved data management plan. Keep the minimum for the minimum time.</w:t>
      </w:r>
    </w:p>
    <w:p>
      <w:pPr>
        <w:pStyle w:val="Heading2"/>
        <w:pBdr>
          <w:top w:val="single" w:sz="18" w:space="6" w:color="FF8A3D"/>
        </w:pBdr>
        <w:spacing w:before="320"/>
      </w:pPr>
      <w:r>
        <w:rPr>
          <w:rFonts w:ascii="Courier New" w:hAnsi="Courier New"/>
          <w:b w:val="0"/>
          <w:color w:val="A8400A"/>
          <w:sz w:val="20"/>
        </w:rPr>
        <w:t xml:space="preserve">07  </w:t>
      </w:r>
      <w:r>
        <w:rPr/>
        <w:t>Instruments licence</w:t>
      </w:r>
    </w:p>
    <w:p>
      <w:pPr>
        <w:pStyle w:val="ListBullet"/>
      </w:pPr>
      <w:r>
        <w:rPr/>
        <w:t xml:space="preserve">The Hackles Assessment Pack surveys, rubrics and tally sheets, and the Teacher Academy surveys and rubrics, are licensed </w:t>
      </w:r>
      <w:r>
        <w:rPr>
          <w:b/>
        </w:rPr>
        <w:t>CC BY-NC 4.0</w:t>
      </w:r>
      <w:r>
        <w:rPr/>
        <w:t>. Researchers may use them for non-commercial research with credit.</w:t>
      </w:r>
    </w:p>
    <w:p>
      <w:pPr>
        <w:pStyle w:val="ListBullet"/>
      </w:pPr>
      <w:r>
        <w:rPr>
          <w:b/>
        </w:rPr>
        <w:t>Use them unaltered where you can.</w:t>
      </w:r>
      <w:r>
        <w:rPr/>
        <w:t xml:space="preserve"> Altering wording, response options or scoring changes what the instrument measures and breaks comparability. If you must change an item, record each change and label the version "adapted from the Hackles Assessment Pack."</w:t>
      </w:r>
    </w:p>
    <w:p>
      <w:pPr>
        <w:pStyle w:val="ListBullet"/>
      </w:pPr>
      <w:r>
        <w:rPr>
          <w:b/>
        </w:rPr>
        <w:t>Do not describe the instruments as validated.</w:t>
      </w:r>
      <w:r>
        <w:rPr/>
        <w:t xml:space="preserve"> The kit reports no reliability or validity evidence. Report any psychometrics you compute as descriptions of your own data, and state their limits.</w:t>
      </w:r>
    </w:p>
    <w:p>
      <w:pPr>
        <w:pStyle w:val="ListBullet"/>
      </w:pPr>
      <w:r>
        <w:rPr>
          <w:b/>
        </w:rPr>
        <w:t>Share the version you used</w:t>
      </w:r>
      <w:r>
        <w:rPr/>
        <w:t xml:space="preserve"> with your publication, with the license notice, so others can replicate.</w:t>
      </w:r>
    </w:p>
    <w:p>
      <w:pPr>
        <w:pStyle w:val="ListBullet"/>
      </w:pPr>
      <w:r>
        <w:rPr>
          <w:b/>
        </w:rPr>
        <w:t>Commercial use</w:t>
      </w:r>
      <w:r>
        <w:rPr/>
        <w:t xml:space="preserve"> of the instruments (for example, selling a testing product built on them) needs the Owner's written permission.</w:t>
      </w:r>
    </w:p>
    <w:p>
      <w:pPr>
        <w:pStyle w:val="ListBullet"/>
      </w:pPr>
      <w:r>
        <w:rPr/>
        <w:t>The Owner may update the kit. State the version and date you used.</w:t>
      </w:r>
    </w:p>
    <w:p>
      <w:pPr>
        <w:pStyle w:val="Heading2"/>
        <w:pBdr>
          <w:top w:val="single" w:sz="18" w:space="6" w:color="FF8A3D"/>
        </w:pBdr>
        <w:spacing w:before="320"/>
      </w:pPr>
      <w:r>
        <w:rPr>
          <w:rFonts w:ascii="Courier New" w:hAnsi="Courier New"/>
          <w:b w:val="0"/>
          <w:color w:val="A8400A"/>
          <w:sz w:val="20"/>
        </w:rPr>
        <w:t xml:space="preserve">08  </w:t>
      </w:r>
      <w:r>
        <w:rPr/>
        <w:t>Publicity, funding and public claims</w:t>
      </w:r>
    </w:p>
    <w:p>
      <w:pPr>
        <w:pStyle w:val="ListBullet"/>
      </w:pPr>
      <w:r>
        <w:rPr/>
        <w:t>Press releases, social posts and grant materials follow the same honesty rules: no claims of effectiveness, approval or prevention.</w:t>
      </w:r>
    </w:p>
    <w:p>
      <w:pPr>
        <w:pStyle w:val="ListBullet"/>
      </w:pPr>
      <w:r>
        <w:rPr/>
        <w:t>Do not use children's images, student work or school names. Do not quote any child.</w:t>
      </w:r>
    </w:p>
    <w:p>
      <w:pPr>
        <w:pStyle w:val="ListBullet"/>
      </w:pPr>
      <w:r>
        <w:rPr/>
        <w:t>Funders may be named. A funder's logo may not appear next to the Hackles name in a way that implies endorsement.</w:t>
      </w:r>
    </w:p>
    <w:p>
      <w:pPr>
        <w:pStyle w:val="Heading2"/>
        <w:pBdr>
          <w:top w:val="single" w:sz="18" w:space="6" w:color="FF8A3D"/>
        </w:pBdr>
        <w:spacing w:before="320"/>
      </w:pPr>
      <w:r>
        <w:rPr>
          <w:rFonts w:ascii="Courier New" w:hAnsi="Courier New"/>
          <w:b w:val="0"/>
          <w:color w:val="A8400A"/>
          <w:sz w:val="20"/>
        </w:rPr>
        <w:t xml:space="preserve">09  </w:t>
      </w:r>
      <w:r>
        <w:rPr/>
        <w:t>Ethics and law</w:t>
      </w:r>
    </w:p>
    <w:p>
      <w:pPr>
        <w:pStyle w:val="ListBullet"/>
      </w:pPr>
      <w:r>
        <w:rPr/>
        <w:t>Every study has IRB review or a documented IRB determination before data collection.</w:t>
      </w:r>
    </w:p>
    <w:p>
      <w:pPr>
        <w:pStyle w:val="ListBullet"/>
      </w:pPr>
      <w:r>
        <w:rPr/>
        <w:t>Researchers follow FERPA, PPRA, COPPA and state laws as counsel advises (see the checklist) [COUNSEL TO CONFIRM].</w:t>
      </w:r>
    </w:p>
    <w:p>
      <w:pPr>
        <w:pStyle w:val="ListBullet"/>
      </w:pPr>
      <w:r>
        <w:rPr/>
        <w:t>Researchers who are mandated reporters know their duty and say in consent forms that confidentiality has limits.</w:t>
      </w:r>
    </w:p>
    <w:p>
      <w:pPr>
        <w:pStyle w:val="ListBullet"/>
      </w:pPr>
      <w:r>
        <w:rPr/>
        <w:t>Researchers follow the Disclosure and Incident Guide if a child tells them something hard.</w:t>
      </w:r>
    </w:p>
    <w:p>
      <w:pPr>
        <w:pStyle w:val="Heading2"/>
        <w:pBdr>
          <w:top w:val="single" w:sz="18" w:space="6" w:color="FF8A3D"/>
        </w:pBdr>
        <w:spacing w:before="320"/>
      </w:pPr>
      <w:r>
        <w:rPr>
          <w:rFonts w:ascii="Courier New" w:hAnsi="Courier New"/>
          <w:b w:val="0"/>
          <w:color w:val="A8400A"/>
          <w:sz w:val="20"/>
        </w:rPr>
        <w:t xml:space="preserve">10  </w:t>
      </w:r>
      <w:r>
        <w:rPr/>
        <w:t>Changes, disputes and ending</w:t>
      </w:r>
    </w:p>
    <w:p>
      <w:pPr>
        <w:pStyle w:val="ListBullet"/>
      </w:pPr>
      <w:r>
        <w:rPr/>
        <w:t>This policy may be updated; the version in effect at the start of the study applies unless both parties agree otherwise in writing.</w:t>
      </w:r>
    </w:p>
    <w:p>
      <w:pPr>
        <w:pStyle w:val="ListBullet"/>
      </w:pPr>
      <w:r>
        <w:rPr/>
        <w:t>Disputes: talk first; then involve the institution's research integrity office or a neutral mediator.</w:t>
      </w:r>
    </w:p>
    <w:p>
      <w:pPr>
        <w:pStyle w:val="ListBullet"/>
      </w:pPr>
      <w:r>
        <w:rPr/>
        <w:t>Either party may end the arrangement with written notice. Data already collected remain subject to the consent forms and the IRB plan. Published work stays published; the Owner's license for materials already used remains in force under CC BY-NC 4.0.</w:t>
      </w:r>
    </w:p>
    <w:p>
      <w:pPr>
        <w:pStyle w:val="Heading2"/>
        <w:pBdr>
          <w:top w:val="single" w:sz="18" w:space="6" w:color="FF8A3D"/>
        </w:pBdr>
        <w:spacing w:before="320"/>
      </w:pPr>
      <w:r>
        <w:rPr>
          <w:rFonts w:ascii="Courier New" w:hAnsi="Courier New"/>
          <w:b w:val="0"/>
          <w:color w:val="A8400A"/>
          <w:sz w:val="20"/>
        </w:rPr>
        <w:t xml:space="preserve">11  </w:t>
      </w:r>
      <w:r>
        <w:rPr/>
        <w:t>One-page agreement (sign-off sheet)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454"/>
        <w:gridCol w:w="3338"/>
      </w:tblGrid>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Study title and IRB number</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Researchers and institution</w:t>
            </w:r>
          </w:p>
        </w:tc>
        <w:tc>
          <w:tcPr>
            <w:tcW w:type="dxa" w:w="3338"/>
            <w:tcMar>
              <w:top w:w="50" w:type="dxa"/>
              <w:left w:w="90" w:type="dxa"/>
              <w:bottom w:w="60" w:type="dxa"/>
              <w:right w:w="90" w:type="dxa"/>
            </w:tcMar>
          </w:tcPr>
          <w:p>
            <w:pPr>
              <w:spacing w:before="0" w:after="0" w:line="252" w:lineRule="auto"/>
            </w:pPr>
          </w:p>
        </w:tc>
      </w:tr>
      <w:tr>
        <w:trPr>
          <w:cantSplit/>
        </w:trPr>
        <w:tc>
          <w:tcPr>
            <w:tcW w:type="dxa" w:w="6454"/>
            <w:tcMar>
              <w:top w:w="50" w:type="dxa"/>
              <w:left w:w="0" w:type="dxa"/>
              <w:bottom w:w="60" w:type="dxa"/>
              <w:right w:w="90" w:type="dxa"/>
            </w:tcMar>
          </w:tcPr>
          <w:p>
            <w:pPr>
              <w:spacing w:before="0" w:after="0" w:line="252" w:lineRule="auto"/>
            </w:pPr>
            <w:r>
              <w:rPr>
                <w:rFonts w:ascii="Calibri" w:hAnsi="Calibri"/>
                <w:sz w:val="19"/>
              </w:rPr>
              <w:t>Owner contact</w:t>
            </w:r>
          </w:p>
        </w:tc>
        <w:tc>
          <w:tcPr>
            <w:tcW w:type="dxa" w:w="3338"/>
            <w:tcMar>
              <w:top w:w="50" w:type="dxa"/>
              <w:left w:w="90" w:type="dxa"/>
              <w:bottom w:w="60" w:type="dxa"/>
              <w:right w:w="90" w:type="dxa"/>
            </w:tcMar>
          </w:tcPr>
          <w:p>
            <w:pPr>
              <w:spacing w:before="0" w:after="0" w:line="252" w:lineRule="auto"/>
            </w:pPr>
            <w:r>
              <w:rPr>
                <w:rFonts w:ascii="Calibri" w:hAnsi="Calibri"/>
                <w:sz w:val="19"/>
              </w:rPr>
              <w:t>[CONTACT: to be added]</w:t>
            </w: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We agree to follow this policy (version/date)</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Courtesy review contact and 30-day window agreed</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Authorship and order agreed on (date)</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Data to be shared, under what license, and where</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Conflicts of interest declared</w:t>
            </w:r>
          </w:p>
        </w:tc>
        <w:tc>
          <w:tcPr>
            <w:tcW w:type="dxa" w:w="3338"/>
            <w:tcMar>
              <w:top w:w="50" w:type="dxa"/>
              <w:left w:w="90" w:type="dxa"/>
              <w:bottom w:w="60" w:type="dxa"/>
              <w:right w:w="90" w:type="dxa"/>
            </w:tcMar>
          </w:tcPr>
          <w:p>
            <w:pPr>
              <w:spacing w:before="0" w:after="0" w:line="252" w:lineRule="auto"/>
            </w:pPr>
          </w:p>
        </w:tc>
      </w:tr>
      <w:tr>
        <w:trPr>
          <w:cantSplit/>
          <w:trHeight w:val="432"/>
        </w:trPr>
        <w:tc>
          <w:tcPr>
            <w:tcW w:type="dxa" w:w="6454"/>
            <w:tcMar>
              <w:top w:w="50" w:type="dxa"/>
              <w:left w:w="0" w:type="dxa"/>
              <w:bottom w:w="60" w:type="dxa"/>
              <w:right w:w="90" w:type="dxa"/>
            </w:tcMar>
          </w:tcPr>
          <w:p>
            <w:pPr>
              <w:spacing w:before="0" w:after="0" w:line="252" w:lineRule="auto"/>
            </w:pPr>
            <w:r>
              <w:rPr>
                <w:rFonts w:ascii="Calibri" w:hAnsi="Calibri"/>
                <w:sz w:val="19"/>
              </w:rPr>
              <w:t>Signatures and dates</w:t>
            </w:r>
          </w:p>
        </w:tc>
        <w:tc>
          <w:tcPr>
            <w:tcW w:type="dxa" w:w="333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This policy is a draft for counsel's review and is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PUBLICATION, AUTHORSHIP AND DATA AND INSTRUMENTS 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Authorship and Data and Instruments Licence Policy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