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College Edition, Part A: Teacher Preparation (Start Here)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A ready-to-adopt course, "Teaching Digital Safety and Cybersecurity in K-12," for education and teacher-preparation programs and for in-service teacher graduate courses. Hackles has not been evaluated in a controlled trial and no state agency has approved it, so nothing in this folder claims that it is effective.</w:t>
      </w:r>
    </w:p>
    <w:p>
      <w:r>
        <w:rPr/>
        <w:t>No student accounts, no student data collected, ever.</w:t>
      </w:r>
    </w:p>
    <w:p>
      <w:pPr>
        <w:pStyle w:val="Heading2"/>
        <w:pBdr>
          <w:top w:val="single" w:sz="18" w:space="6" w:color="FF8A3D"/>
        </w:pBdr>
        <w:spacing w:before="320"/>
      </w:pPr>
      <w:r>
        <w:rPr/>
        <w:t>What is here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90"/>
        <w:gridCol w:w="6402"/>
      </w:tblGrid>
      <w:tr>
        <w:trPr>
          <w:tblHeader/>
          <w:cantSplit/>
        </w:trPr>
        <w:tc>
          <w:tcPr>
            <w:tcW w:type="dxa" w:w="33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 OR FOLDER</w:t>
            </w:r>
          </w:p>
        </w:tc>
        <w:tc>
          <w:tcPr>
            <w:tcW w:type="dxa" w:w="64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Course_Syllabus_3_Credit</w:t>
            </w:r>
          </w:p>
        </w:tc>
        <w:tc>
          <w:tcPr>
            <w:tcW w:type="dxa" w:w="6402"/>
            <w:tcMar>
              <w:top w:w="50" w:type="dxa"/>
              <w:left w:w="90" w:type="dxa"/>
              <w:bottom w:w="60" w:type="dxa"/>
              <w:right w:w="90" w:type="dxa"/>
            </w:tcMar>
          </w:tcPr>
          <w:p>
            <w:pPr>
              <w:spacing w:before="0" w:after="0" w:line="252" w:lineRule="auto"/>
            </w:pPr>
            <w:r>
              <w:rPr>
                <w:rFonts w:ascii="Calibri" w:hAnsi="Calibri"/>
                <w:sz w:val="19"/>
              </w:rPr>
              <w:t>Catalog description, outcomes mapped to the six Academy competencies, InTASC and ISTE Educator standards [VERIFY codes], 15-week schedule, assessment plan, grading, accessibility, academic integrity, generative AI policy, care for candidates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Weekly_Course_Plans</w:t>
            </w:r>
          </w:p>
        </w:tc>
        <w:tc>
          <w:tcPr>
            <w:tcW w:type="dxa" w:w="6402"/>
            <w:tcMar>
              <w:top w:w="50" w:type="dxa"/>
              <w:left w:w="90" w:type="dxa"/>
              <w:bottom w:w="60" w:type="dxa"/>
              <w:right w:w="90" w:type="dxa"/>
            </w:tcMar>
          </w:tcPr>
          <w:p>
            <w:pPr>
              <w:spacing w:before="0" w:after="0" w:line="252" w:lineRule="auto"/>
            </w:pPr>
            <w:r>
              <w:rPr>
                <w:rFonts w:ascii="Calibri" w:hAnsi="Calibri"/>
                <w:sz w:val="19"/>
              </w:rPr>
              <w:t>Minute-by-minute plans for all 15 weeks (180 minutes each), with Concepts Lab demos, Facilitator Kit methods, readings, assignments, field tie-ins and instructor notes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Assignments_and_Rubrics</w:t>
            </w:r>
          </w:p>
        </w:tc>
        <w:tc>
          <w:tcPr>
            <w:tcW w:type="dxa" w:w="6402"/>
            <w:tcMar>
              <w:top w:w="50" w:type="dxa"/>
              <w:left w:w="90" w:type="dxa"/>
              <w:bottom w:w="60" w:type="dxa"/>
              <w:right w:w="90" w:type="dxa"/>
            </w:tcMar>
          </w:tcPr>
          <w:p>
            <w:pPr>
              <w:spacing w:before="0" w:after="0" w:line="252" w:lineRule="auto"/>
            </w:pPr>
            <w:r>
              <w:rPr>
                <w:rFonts w:ascii="Calibri" w:hAnsi="Calibri"/>
                <w:sz w:val="19"/>
              </w:rPr>
              <w:t>Micro-teach, disclosure-response practicum (with the fictional card deck), unit plan, reflective journal, capstone, field log, quizzes, with rubrics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Field_Placement_Guide</w:t>
            </w:r>
          </w:p>
        </w:tc>
        <w:tc>
          <w:tcPr>
            <w:tcW w:type="dxa" w:w="6402"/>
            <w:tcMar>
              <w:top w:w="50" w:type="dxa"/>
              <w:left w:w="90" w:type="dxa"/>
              <w:bottom w:w="60" w:type="dxa"/>
              <w:right w:w="90" w:type="dxa"/>
            </w:tcMar>
          </w:tcPr>
          <w:p>
            <w:pPr>
              <w:spacing w:before="0" w:after="0" w:line="252" w:lineRule="auto"/>
            </w:pPr>
            <w:r>
              <w:rPr>
                <w:rFonts w:ascii="Calibri" w:hAnsi="Calibri"/>
                <w:sz w:val="19"/>
              </w:rPr>
              <w:t>Supervised K-12 delivery, background checks, mandated-reporter orientation, the no-student-data rule, forms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Instructor_Notes</w:t>
            </w:r>
          </w:p>
        </w:tc>
        <w:tc>
          <w:tcPr>
            <w:tcW w:type="dxa" w:w="6402"/>
            <w:tcMar>
              <w:top w:w="50" w:type="dxa"/>
              <w:left w:w="90" w:type="dxa"/>
              <w:bottom w:w="60" w:type="dxa"/>
              <w:right w:w="90" w:type="dxa"/>
            </w:tcMar>
          </w:tcPr>
          <w:p>
            <w:pPr>
              <w:spacing w:before="0" w:after="0" w:line="252" w:lineRule="auto"/>
            </w:pPr>
            <w:r>
              <w:rPr>
                <w:rFonts w:ascii="Calibri" w:hAnsi="Calibri"/>
                <w:sz w:val="19"/>
              </w:rPr>
              <w:t>Timing, how to run sensitive sessions, trauma-informed practice for candidates, working with a counselor partner, what to re-verify each term</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Reading_List</w:t>
            </w:r>
          </w:p>
        </w:tc>
        <w:tc>
          <w:tcPr>
            <w:tcW w:type="dxa" w:w="6402"/>
            <w:tcMar>
              <w:top w:w="50" w:type="dxa"/>
              <w:left w:w="90" w:type="dxa"/>
              <w:bottom w:w="60" w:type="dxa"/>
              <w:right w:w="90" w:type="dxa"/>
            </w:tcMar>
          </w:tcPr>
          <w:p>
            <w:pPr>
              <w:spacing w:before="0" w:after="0" w:line="252" w:lineRule="auto"/>
            </w:pPr>
            <w:r>
              <w:rPr>
                <w:rFonts w:ascii="Calibri" w:hAnsi="Calibri"/>
                <w:sz w:val="19"/>
              </w:rPr>
              <w:t>Required and optional readings; only sources verified in the kit's verification reports or marked [VERIFY]</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Workshop_Variant_1_Credit_15_Hours</w:t>
            </w:r>
          </w:p>
        </w:tc>
        <w:tc>
          <w:tcPr>
            <w:tcW w:type="dxa" w:w="6402"/>
            <w:tcMar>
              <w:top w:w="50" w:type="dxa"/>
              <w:left w:w="90" w:type="dxa"/>
              <w:bottom w:w="60" w:type="dxa"/>
              <w:right w:w="90" w:type="dxa"/>
            </w:tcMar>
          </w:tcPr>
          <w:p>
            <w:pPr>
              <w:spacing w:before="0" w:after="0" w:line="252" w:lineRule="auto"/>
            </w:pPr>
            <w:r>
              <w:rPr>
                <w:rFonts w:ascii="Calibri" w:hAnsi="Calibri"/>
                <w:sz w:val="19"/>
              </w:rPr>
              <w:t>A 1-credit, 15-hour version</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PD_Version_6_Hours_Non_Credit</w:t>
            </w:r>
          </w:p>
        </w:tc>
        <w:tc>
          <w:tcPr>
            <w:tcW w:type="dxa" w:w="6402"/>
            <w:tcMar>
              <w:top w:w="50" w:type="dxa"/>
              <w:left w:w="90" w:type="dxa"/>
              <w:bottom w:w="60" w:type="dxa"/>
              <w:right w:w="90" w:type="dxa"/>
            </w:tcMar>
          </w:tcPr>
          <w:p>
            <w:pPr>
              <w:spacing w:before="0" w:after="0" w:line="252" w:lineRule="auto"/>
            </w:pPr>
            <w:r>
              <w:rPr>
                <w:rFonts w:ascii="Calibri" w:hAnsi="Calibri"/>
                <w:sz w:val="19"/>
              </w:rPr>
              <w:t>A 6-hour non-credit PD version with certificate language that does not claim approval by any state agency</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lms/</w:t>
            </w:r>
          </w:p>
        </w:tc>
        <w:tc>
          <w:tcPr>
            <w:tcW w:type="dxa" w:w="6402"/>
            <w:tcMar>
              <w:top w:w="50" w:type="dxa"/>
              <w:left w:w="90" w:type="dxa"/>
              <w:bottom w:w="60" w:type="dxa"/>
              <w:right w:w="90" w:type="dxa"/>
            </w:tcMar>
          </w:tcPr>
          <w:p>
            <w:pPr>
              <w:spacing w:before="0" w:after="0" w:line="252" w:lineRule="auto"/>
            </w:pPr>
            <w:r>
              <w:rPr>
                <w:rFonts w:ascii="Calibri" w:hAnsi="Calibri"/>
                <w:sz w:val="19"/>
              </w:rPr>
              <w:t>Common Cartridge packages (1.1, 1.3 and a Canvas-assignments variant), copy-paste HTML pages for any LMS, and the import guide with honest test notes</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question_bank/</w:t>
            </w:r>
          </w:p>
        </w:tc>
        <w:tc>
          <w:tcPr>
            <w:tcW w:type="dxa" w:w="6402"/>
            <w:tcMar>
              <w:top w:w="50" w:type="dxa"/>
              <w:left w:w="90" w:type="dxa"/>
              <w:bottom w:w="60" w:type="dxa"/>
              <w:right w:w="90" w:type="dxa"/>
            </w:tcMar>
          </w:tcPr>
          <w:p>
            <w:pPr>
              <w:spacing w:before="0" w:after="0" w:line="252" w:lineRule="auto"/>
            </w:pPr>
            <w:r>
              <w:rPr>
                <w:rFonts w:ascii="Calibri" w:hAnsi="Calibri"/>
                <w:sz w:val="19"/>
              </w:rPr>
              <w:t>150 multiple-choice and scenario questions with rationales (CSV, QTI 1.2 XML, QTI zip, readable copy)</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slides/</w:t>
            </w:r>
          </w:p>
        </w:tc>
        <w:tc>
          <w:tcPr>
            <w:tcW w:type="dxa" w:w="6402"/>
            <w:tcMar>
              <w:top w:w="50" w:type="dxa"/>
              <w:left w:w="90" w:type="dxa"/>
              <w:bottom w:w="60" w:type="dxa"/>
              <w:right w:w="90" w:type="dxa"/>
            </w:tcMar>
          </w:tcPr>
          <w:p>
            <w:pPr>
              <w:spacing w:before="0" w:after="0" w:line="252" w:lineRule="auto"/>
            </w:pPr>
            <w:r>
              <w:rPr>
                <w:rFonts w:ascii="Calibri" w:hAnsi="Calibri"/>
                <w:sz w:val="19"/>
              </w:rPr>
              <w:t>15 PowerPoint decks (one per week) with speaker notes and alt text</w:t>
            </w:r>
          </w:p>
        </w:tc>
      </w:tr>
      <w:tr>
        <w:trPr>
          <w:cantSplit/>
        </w:trPr>
        <w:tc>
          <w:tcPr>
            <w:tcW w:type="dxa" w:w="3390"/>
            <w:tcMar>
              <w:top w:w="50" w:type="dxa"/>
              <w:left w:w="0" w:type="dxa"/>
              <w:bottom w:w="60" w:type="dxa"/>
              <w:right w:w="90" w:type="dxa"/>
            </w:tcMar>
          </w:tcPr>
          <w:p>
            <w:pPr>
              <w:spacing w:before="0" w:after="0" w:line="252" w:lineRule="auto"/>
            </w:pPr>
            <w:r>
              <w:rPr>
                <w:rFonts w:ascii="Consolas" w:hAnsi="Consolas"/>
                <w:color w:val="A8400A"/>
                <w:sz w:val="19"/>
              </w:rPr>
              <w:t>build/</w:t>
            </w:r>
          </w:p>
        </w:tc>
        <w:tc>
          <w:tcPr>
            <w:tcW w:type="dxa" w:w="6402"/>
            <w:tcMar>
              <w:top w:w="50" w:type="dxa"/>
              <w:left w:w="90" w:type="dxa"/>
              <w:bottom w:w="60" w:type="dxa"/>
              <w:right w:w="90" w:type="dxa"/>
            </w:tcMar>
          </w:tcPr>
          <w:p>
            <w:pPr>
              <w:spacing w:before="0" w:after="0" w:line="252" w:lineRule="auto"/>
            </w:pPr>
            <w:r>
              <w:rPr>
                <w:rFonts w:ascii="Calibri" w:hAnsi="Calibri"/>
                <w:sz w:val="19"/>
              </w:rPr>
              <w:t>The Python scripts that generate the decks, the LMS shell, the question bank and the weekly documents from one data source</w:t>
            </w:r>
          </w:p>
        </w:tc>
      </w:tr>
    </w:tbl>
    <w:p>
      <w:pPr>
        <w:spacing w:before="0" w:after="0" w:line="160" w:lineRule="exact"/>
      </w:pPr>
      <w:r>
        <w:rPr>
          <w:sz w:val="2"/>
        </w:rPr>
      </w:r>
    </w:p>
    <w:p>
      <w:pPr>
        <w:pStyle w:val="Heading2"/>
        <w:pBdr>
          <w:top w:val="single" w:sz="18" w:space="6" w:color="FF8A3D"/>
        </w:pBdr>
        <w:spacing w:before="320"/>
      </w:pPr>
      <w:r>
        <w:rPr/>
        <w:t>The research toolkit</w:t>
      </w:r>
    </w:p>
    <w:p>
      <w:r>
        <w:rPr/>
        <w:t xml:space="preserve">See </w:t>
      </w:r>
      <w:r>
        <w:rPr>
          <w:rFonts w:ascii="Consolas" w:hAnsi="Consolas"/>
          <w:color w:val="A8400A"/>
        </w:rPr>
        <w:t>../research/</w:t>
      </w:r>
      <w:r>
        <w:rPr/>
        <w:t xml:space="preserve"> for the evidence brief, study designs, IRB protocol template, instruments and codebook, preregistration, statistical plan with tested code, limitations template, publication and data policy, and the PPRA, FERPA and COPPA checklist.</w:t>
      </w:r>
    </w:p>
    <w:p>
      <w:pPr>
        <w:pStyle w:val="Heading2"/>
        <w:pBdr>
          <w:top w:val="single" w:sz="18" w:space="6" w:color="FF8A3D"/>
        </w:pBdr>
        <w:spacing w:before="320"/>
      </w:pPr>
      <w:r>
        <w:rPr/>
        <w:t>First steps for an adopting program</w:t>
      </w:r>
    </w:p>
    <w:p>
      <w:pPr>
        <w:spacing w:before="0" w:after="60"/>
        <w:ind w:left="504" w:hanging="360"/>
      </w:pPr>
      <w:r>
        <w:rPr>
          <w:b/>
          <w:color w:val="2F6F73"/>
        </w:rPr>
        <w:t xml:space="preserve">1. </w:t>
      </w:r>
      <w:r>
        <w:rPr/>
        <w:t>Read the syllabus and fill in the bracketed local items (course number, instructor, counselor partner, campus offices).</w:t>
      </w:r>
    </w:p>
    <w:p>
      <w:pPr>
        <w:spacing w:before="0" w:after="60"/>
        <w:ind w:left="504" w:hanging="360"/>
      </w:pPr>
      <w:r>
        <w:rPr>
          <w:b/>
          <w:color w:val="2F6F73"/>
        </w:rPr>
        <w:t xml:space="preserve">2. </w:t>
      </w:r>
      <w:r>
        <w:rPr/>
        <w:t>Recruit a counselor partner for Weeks 8 and 9 (see Instructor Notes, Section 6).</w:t>
      </w:r>
    </w:p>
    <w:p>
      <w:pPr>
        <w:spacing w:before="0" w:after="60"/>
        <w:ind w:left="504" w:hanging="360"/>
      </w:pPr>
      <w:r>
        <w:rPr>
          <w:b/>
          <w:color w:val="2F6F73"/>
        </w:rPr>
        <w:t xml:space="preserve">3. </w:t>
      </w:r>
      <w:r>
        <w:rPr/>
        <w:t>Re-verify every [VERIFY] item you plan to teach (Instructor Notes, Section 10).</w:t>
      </w:r>
    </w:p>
    <w:p>
      <w:pPr>
        <w:spacing w:before="0" w:after="60"/>
        <w:ind w:left="504" w:hanging="360"/>
      </w:pPr>
      <w:r>
        <w:rPr>
          <w:b/>
          <w:color w:val="2F6F73"/>
        </w:rPr>
        <w:t xml:space="preserve">4. </w:t>
      </w:r>
      <w:r>
        <w:rPr/>
        <w:t>Import the LMS shell or paste in the HTML pages.</w:t>
      </w:r>
    </w:p>
    <w:p>
      <w:pPr>
        <w:spacing w:before="0" w:after="60"/>
        <w:ind w:left="504" w:hanging="360"/>
      </w:pPr>
      <w:r>
        <w:rPr>
          <w:b/>
          <w:color w:val="2F6F73"/>
        </w:rPr>
        <w:t xml:space="preserve">5. </w:t>
      </w:r>
      <w:r>
        <w:rPr/>
        <w:t>Start background checks and field placements in Week 1 or earlier, and don't leave them for later.</w:t>
      </w:r>
    </w:p>
    <w:p>
      <w:pPr>
        <w:spacing w:before="0" w:after="60"/>
        <w:ind w:left="504" w:hanging="360"/>
      </w:pPr>
      <w:r>
        <w:rPr>
          <w:b/>
          <w:color w:val="2F6F73"/>
        </w:rPr>
        <w:t xml:space="preserve">6. </w:t>
      </w:r>
      <w:r>
        <w:rPr/>
        <w:t>Do the Concepts Lab demos yourself before you teach them.</w:t>
      </w:r>
    </w:p>
    <w:p>
      <w:r>
        <w:rPr>
          <w:i/>
        </w:rPr>
        <w:t>This folder is educational guidance, not legal advice.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COLLEGE EDITION, PART A: TEACHER PREPARATI...</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College Edition, Part A: Teacher Preparation (Start Here)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