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276649" cy="457200"/>
            <wp:docPr id="1" name="Picture 1" descr="Hackles logo"/>
            <wp:cNvGraphicFramePr>
              <a:graphicFrameLocks noChangeAspect="1"/>
            </wp:cNvGraphicFramePr>
            <a:graphic>
              <a:graphicData uri="http://schemas.openxmlformats.org/drawingml/2006/picture">
                <pic:pic>
                  <pic:nvPicPr>
                    <pic:cNvPr id="0" name="Hackles_logo_horizontal.png"/>
                    <pic:cNvPicPr/>
                  </pic:nvPicPr>
                  <pic:blipFill>
                    <a:blip r:embed="rId12"/>
                    <a:stretch>
                      <a:fillRect/>
                    </a:stretch>
                  </pic:blipFill>
                  <pic:spPr>
                    <a:xfrm>
                      <a:off x="0" y="0"/>
                      <a:ext cx="1276649" cy="457200"/>
                    </a:xfrm>
                    <a:prstGeom prst="rect"/>
                  </pic:spPr>
                </pic:pic>
              </a:graphicData>
            </a:graphic>
          </wp:inline>
        </w:drawing>
      </w:r>
    </w:p>
    <w:p>
      <w:pPr>
        <w:pBdr>
          <w:bottom w:val="double" w:sz="6" w:space="4" w:color="2B2D42"/>
        </w:pBdr>
        <w:spacing w:before="0" w:after="120"/>
      </w:pPr>
    </w:p>
    <w:p>
      <w:pPr>
        <w:spacing w:before="120" w:after="40" w:line="240" w:lineRule="auto"/>
      </w:pPr>
      <w:r>
        <w:rPr>
          <w:rFonts w:ascii="Georgia" w:hAnsi="Georgia"/>
          <w:b/>
          <w:color w:val="2B2D42"/>
          <w:sz w:val="56"/>
        </w:rPr>
        <w:t>Start Here for Administrators</w:t>
      </w:r>
    </w:p>
    <w:p>
      <w:pPr>
        <w:spacing w:before="0" w:after="40"/>
      </w:pPr>
      <w:r>
        <w:rPr>
          <w:rFonts w:ascii="Georgia" w:hAnsi="Georgia"/>
          <w:b/>
          <w:i/>
          <w:color w:val="2F6F73"/>
          <w:sz w:val="26"/>
        </w:rPr>
        <w:t>The Hackles Kit</w:t>
      </w:r>
    </w:p>
    <w:p>
      <w:pPr>
        <w:spacing w:before="0" w:after="240"/>
      </w:pPr>
      <w:r>
        <w:rPr>
          <w:rFonts w:ascii="Calibri" w:hAnsi="Calibri"/>
          <w:color w:val="5A5C70"/>
          <w:sz w:val="17"/>
        </w:rPr>
        <w:t>Hackles · a free kit · quillsup.org · October 2026</w:t>
      </w:r>
    </w:p>
    <w:p>
      <w:r>
        <w:rPr>
          <w:i/>
        </w:rPr>
        <w:t>© 2026 Competence Collective. Lesson text and teaching materials CC BY-NC 4.0. The Hackles name, logos, characters and artwork are not covered by that license: print and share them unaltered for classroom and family use; any other use needs written permission. [VERIFY with counsel]</w:t>
      </w:r>
    </w:p>
    <w:p>
      <w:r>
        <w:rPr>
          <w:b/>
        </w:rPr>
        <w:t>Status: DRAFT for local review, 2026-10-05. Not legal advice.</w:t>
      </w:r>
      <w:r>
        <w:rPr/>
        <w:t xml:space="preserve"> Hackles has not been reviewed, approved or endorsed by FLDOE or any state agency, and it has not been evaluated in a controlled study. Every legal or statistical statement is marked [VERIFY] or [COUNSEL TO CONFIRM]. Ask your own counsel before you rely on any of them.</w:t>
      </w:r>
    </w:p>
    <w:p>
      <w:pPr>
        <w:pStyle w:val="Heading2"/>
        <w:pBdr>
          <w:top w:val="single" w:sz="18" w:space="6" w:color="FF8A3D"/>
        </w:pBdr>
        <w:spacing w:before="320"/>
      </w:pPr>
      <w:r>
        <w:rPr/>
        <w:t>Page one: the short version</w:t>
      </w:r>
    </w:p>
    <w:p>
      <w:r>
        <w:rPr>
          <w:b/>
        </w:rPr>
        <w:t>What it is.</w:t>
      </w:r>
      <w:r>
        <w:rPr/>
        <w:t xml:space="preserve"> Hackles is a free online-safety kit for ages 5 to 18 (quillsup.org). Each grade band (K-2, 3-5, 6-8, 9-12) has 10 scripted lessons of 15 minutes. The habit it teaches is </w:t>
      </w:r>
      <w:r>
        <w:rPr>
          <w:i/>
        </w:rPr>
        <w:t>Hackles up? Pause. Check. Tell.</w:t>
      </w:r>
      <w:r>
        <w:rPr/>
        <w:t xml:space="preserve"> Students notice the "something is off" feeling, stop, check, and tell a trusted adult. Teachers get guides, student books, slides, family letters, a counselor toolkit and a disclosure guide, and most lessons run on paper with no device.</w:t>
      </w:r>
    </w:p>
    <w:p>
      <w:r>
        <w:rPr>
          <w:b/>
        </w:rPr>
        <w:t>What it costs.</w:t>
      </w:r>
      <w:r>
        <w:rPr/>
        <w:t xml:space="preserve"> $0. No license fee, no account, no per-seat price, no renewal. Printing, staff time and any event costs are yours (see the Hackles Day budget sheet).</w:t>
      </w:r>
    </w:p>
    <w:p>
      <w:r>
        <w:rPr>
          <w:b/>
        </w:rPr>
        <w:t>What adopting means.</w:t>
      </w:r>
      <w:r>
        <w:rPr/>
        <w:t xml:space="preserve"> Your school chooses to use free supplemental material. You print or host the files yourselves, staff teach the lessons, a counselor backs them up, and families get advance notice of the sensitive ones. You keep full control of the schedule, the opt-out process and the reporting route.</w:t>
      </w:r>
    </w:p>
    <w:p>
      <w:r>
        <w:rPr>
          <w:b/>
        </w:rPr>
        <w:t>What adopting does not mean.</w:t>
      </w:r>
    </w:p>
    <w:p>
      <w:pPr>
        <w:pStyle w:val="ListBullet"/>
      </w:pPr>
      <w:r>
        <w:rPr/>
        <w:t>It does not sign you to a contract or a data agreement. Nothing in the kit asks for one.</w:t>
      </w:r>
    </w:p>
    <w:p>
      <w:pPr>
        <w:pStyle w:val="ListBullet"/>
      </w:pPr>
      <w:r>
        <w:rPr/>
        <w:t>It does not make Hackles state-approved. No state education agency, including FLDOE, has reviewed, approved or endorsed it.</w:t>
      </w:r>
    </w:p>
    <w:p>
      <w:pPr>
        <w:pStyle w:val="ListBullet"/>
      </w:pPr>
      <w:r>
        <w:rPr/>
        <w:t>It does not satisfy a legal duty to teach internet safety by itself. Your counsel decides whether the kit, alone or with other material, meets your state's requirements. [COUNSEL TO CONFIRM]</w:t>
      </w:r>
    </w:p>
    <w:p>
      <w:pPr>
        <w:pStyle w:val="ListBullet"/>
      </w:pPr>
      <w:r>
        <w:rPr/>
        <w:t>It does not move any reporting duty off your staff. Teachers and counselors still report personally under your policy and state law.</w:t>
      </w:r>
    </w:p>
    <w:p>
      <w:pPr>
        <w:pStyle w:val="ListBullet"/>
      </w:pPr>
      <w:r>
        <w:rPr/>
        <w:t>It does not give anyone on the Hackles team access to your students or your data.</w:t>
      </w:r>
    </w:p>
    <w:p>
      <w:r>
        <w:rPr>
          <w:b/>
        </w:rPr>
        <w:t>Honest status.</w:t>
      </w:r>
      <w:r>
        <w:rPr/>
        <w:t xml:space="preserve"> Hackles has not been evaluated in a controlled study. The text was drafted with AI assistance and desk-reviewed. As of 2026-10-05 the planned review gates are still pending: a school counselor review, a child-safety organization or clinician review, an attorney review, a final accuracy pass, and an inclusion and accessibility review. The kit's own checklist carries more than a thousand open [VERIFY] flags, and the fact-checkers found that about one in four checked claims was wrong or out of date. Every statement about state law needs your counsel. [VERIFY: counts are from kit/VERIFY_Checklist.md, rebuilt 2026-10-05]</w:t>
      </w:r>
    </w:p>
    <w:p>
      <w:r>
        <w:rPr>
          <w:b/>
        </w:rPr>
        <w:t>Fast path.</w:t>
      </w:r>
      <w:r>
        <w:rPr/>
        <w:t xml:space="preserve"> Read this page, the Procurement Brief and the Security and Privacy Questionnaire. Hand the Board Memo to your agenda clerk, give your counselor the Counselor Coordination Protocol, and pick a start date from the 30-day playbook.</w:t>
      </w:r>
    </w:p>
    <w:p>
      <w:pPr>
        <w:pStyle w:val="Heading2"/>
        <w:pBdr>
          <w:top w:val="single" w:sz="18" w:space="6" w:color="FF8A3D"/>
        </w:pBdr>
        <w:spacing w:before="320"/>
      </w:pPr>
      <w:r>
        <w:rPr/>
        <w:t>The 10 questions a board or cabinet will ask</w:t>
      </w:r>
    </w:p>
    <w:p>
      <w:r>
        <w:rPr>
          <w:b/>
        </w:rPr>
        <w:t>1. Who made it, and what do they get out of it?</w:t>
      </w:r>
    </w:p>
    <w:p>
      <w:r>
        <w:rPr/>
        <w:t>A small team of educators and security practitioners (quillsup.org). They give Hackles away as a goodwill project and say so openly. The kit has no ads, no sign-ups for children and no links to any company's products; the publisher is named once, in the About section of quillsup.org, and in the copyright line. [VERIFY wording with counsel]</w:t>
      </w:r>
    </w:p>
    <w:p>
      <w:r>
        <w:rPr>
          <w:b/>
        </w:rPr>
        <w:t>2. What does it cost?</w:t>
      </w:r>
    </w:p>
    <w:p>
      <w:r>
        <w:rPr/>
        <w:t>The kit costs nothing. Budget for printing (see the print guide), counselor and teacher time (about 15 minutes per lesson per class, plus a 60 to 90 minute staff session), and an optional Hackles Day.</w:t>
      </w:r>
    </w:p>
    <w:p>
      <w:r>
        <w:rPr>
          <w:b/>
        </w:rPr>
        <w:t>3. Is it reviewed, evaluated, approved?</w:t>
      </w:r>
    </w:p>
    <w:p>
      <w:r>
        <w:rPr/>
        <w:t>Reviewed: by AI-assisted desk review and fact-check rounds, which are not classroom evidence. Evaluated: no controlled evaluation, and no classroom pilot has been completed. Approved: no. The human review gates (counselor, child-safety, attorney, accuracy, inclusion) are pending, so treat the kit as a pilot-stage resource and add your own counselor and counsel review before use.</w:t>
      </w:r>
    </w:p>
    <w:p>
      <w:r>
        <w:rPr>
          <w:b/>
        </w:rPr>
        <w:t>4. Does it collect student data?</w:t>
      </w:r>
    </w:p>
    <w:p>
      <w:r>
        <w:rPr/>
        <w:t>No. The downloadable files and the static website have no accounts, no cookies, no analytics and no third-party scripts. The interactive Reader and Lab run in the browser and make no network calls. The optional pre/post surveys are paper forms that your teachers tally; our tracker spreadsheet takes class totals only. See the Data-Flow Statement. Your counsel decides how the surveys fit federal and state rules on student surveys. [COUNSEL TO CONFIRM]</w:t>
      </w:r>
    </w:p>
    <w:p>
      <w:r>
        <w:rPr>
          <w:b/>
        </w:rPr>
        <w:t>5. Does it meet our state mandate, or CIPA?</w:t>
      </w:r>
    </w:p>
    <w:p>
      <w:r>
        <w:rPr/>
        <w:t>It supports them. It does not certify compliance. The State Atlas lists what the kit found for each state, with confidence ratings, and Florida has a full crosswalk. Several components some states require are only partly covered, so ask counsel to map the kit to your statute. [COUNSEL TO CONFIRM; VERIFY each citation]</w:t>
      </w:r>
    </w:p>
    <w:p>
      <w:r>
        <w:rPr>
          <w:b/>
        </w:rPr>
        <w:t>6. What does IT have to do?</w:t>
      </w:r>
    </w:p>
    <w:p>
      <w:r>
        <w:rPr/>
        <w:t>Almost nothing. No allow-listing, no accounts, no single sign-on, no installs. Print the paper kit, or copy the static folders to a school server, LMS or shared drive. The IT and Library Checklist explains how, and you can check downloads against the published SHA-256 list.</w:t>
      </w:r>
    </w:p>
    <w:p>
      <w:r>
        <w:rPr>
          <w:b/>
        </w:rPr>
        <w:t>7. What about sensitive topics and parents?</w:t>
      </w:r>
    </w:p>
    <w:p>
      <w:r>
        <w:rPr/>
        <w:t>Some lessons cover grooming, sextortion, fake images, body safety, trafficking and mental health. None is graphic. The kit includes a counselor heads-up process, a family pre-notice, an opt-out slip and alternate activities. Parent notice and opt-out rules differ by state and district, and your policy governs. [COUNSEL TO CONFIRM]</w:t>
      </w:r>
    </w:p>
    <w:p>
      <w:r>
        <w:rPr>
          <w:b/>
        </w:rPr>
        <w:t>8. What if a student tells a teacher something serious?</w:t>
      </w:r>
    </w:p>
    <w:p>
      <w:r>
        <w:rPr/>
        <w:t>Expect it. It's what good safety teaching produces. The kit has a one-page First 10 Minutes card, a disclosure guide and a response flowchart. Staff report personally under your policy and state law, never view or forward intimate images, and hand off to the counselor. The flowchart has blanks for your local routes and hotline numbers.</w:t>
      </w:r>
    </w:p>
    <w:p>
      <w:r>
        <w:rPr>
          <w:b/>
        </w:rPr>
        <w:t>9. Does it work?</w:t>
      </w:r>
    </w:p>
    <w:p>
      <w:r>
        <w:rPr/>
        <w:t>Unknown. It follows published principles of prevention education (active practice, several sessions, no shame). No controlled study of this kit is known to us, and none exists for a comparable sextortion or deepfake curriculum. The tracker shows class-level changes in student survey answers and counts of lessons delivered. It cannot show that the kit prevented harm. [VERIFY]</w:t>
      </w:r>
    </w:p>
    <w:p>
      <w:r>
        <w:rPr>
          <w:b/>
        </w:rPr>
        <w:t>10. How much work is it, and can we stop?</w:t>
      </w:r>
    </w:p>
    <w:p>
      <w:r>
        <w:rPr/>
        <w:t>A small school can be teaching in 30 days (see the playbook). You can stop at any lesson, in any year, with nothing to unwind, because there's no contract and no data to delete. Keep your own records of what you taught, as your policy requires.</w:t>
      </w:r>
    </w:p>
    <w:p>
      <w:pPr>
        <w:pStyle w:val="Heading2"/>
        <w:pBdr>
          <w:top w:val="single" w:sz="18" w:space="6" w:color="FF8A3D"/>
        </w:pBdr>
        <w:spacing w:before="320"/>
      </w:pPr>
      <w:r>
        <w:rPr/>
        <w:t>Decision checklist</w:t>
      </w:r>
    </w:p>
    <w:p>
      <w:r>
        <w:rPr/>
        <w:t>Tick each line before the first lesson. Names and dates go in the margin.</w:t>
      </w:r>
    </w:p>
    <w:p>
      <w:pPr>
        <w:spacing w:before="0" w:after="60"/>
        <w:ind w:left="504" w:hanging="360"/>
      </w:pPr>
      <w:r>
        <w:rPr>
          <w:rFonts w:ascii="Segoe UI Symbol" w:hAnsi="Segoe UI Symbol"/>
        </w:rPr>
        <w:t xml:space="preserve">☐ </w:t>
      </w:r>
      <w:r>
        <w:rPr/>
        <w:t>Counsel has read this pack and told us which items need local edits (state mandate, notice and opt-out, survey consent, reporting).</w:t>
      </w:r>
    </w:p>
    <w:p>
      <w:pPr>
        <w:spacing w:before="0" w:after="60"/>
        <w:ind w:left="504" w:hanging="360"/>
      </w:pPr>
      <w:r>
        <w:rPr>
          <w:rFonts w:ascii="Segoe UI Symbol" w:hAnsi="Segoe UI Symbol"/>
        </w:rPr>
        <w:t xml:space="preserve">☐ </w:t>
      </w:r>
      <w:r>
        <w:rPr/>
        <w:t>A school counselor has reviewed the sensitive lessons and agreed to be on call.</w:t>
      </w:r>
    </w:p>
    <w:p>
      <w:pPr>
        <w:spacing w:before="0" w:after="60"/>
        <w:ind w:left="504" w:hanging="360"/>
      </w:pPr>
      <w:r>
        <w:rPr>
          <w:rFonts w:ascii="Segoe UI Symbol" w:hAnsi="Segoe UI Symbol"/>
        </w:rPr>
        <w:t xml:space="preserve">☐ </w:t>
      </w:r>
      <w:r>
        <w:rPr/>
        <w:t>The staff reporting route and deadline are written on a card in each teacher's binder. [local fill]</w:t>
      </w:r>
    </w:p>
    <w:p>
      <w:pPr>
        <w:spacing w:before="0" w:after="60"/>
        <w:ind w:left="504" w:hanging="360"/>
      </w:pPr>
      <w:r>
        <w:rPr>
          <w:rFonts w:ascii="Segoe UI Symbol" w:hAnsi="Segoe UI Symbol"/>
        </w:rPr>
        <w:t xml:space="preserve">☐ </w:t>
      </w:r>
      <w:r>
        <w:rPr/>
        <w:t>The board or cabinet has recorded the decision (see the Board Memo).</w:t>
      </w:r>
    </w:p>
    <w:p>
      <w:pPr>
        <w:spacing w:before="0" w:after="60"/>
        <w:ind w:left="504" w:hanging="360"/>
      </w:pPr>
      <w:r>
        <w:rPr>
          <w:rFonts w:ascii="Segoe UI Symbol" w:hAnsi="Segoe UI Symbol"/>
        </w:rPr>
        <w:t xml:space="preserve">☐ </w:t>
      </w:r>
      <w:r>
        <w:rPr/>
        <w:t>Families have a general letter, and each sensitive lesson has a pre-notice date at least two weeks ahead.</w:t>
      </w:r>
    </w:p>
    <w:p>
      <w:pPr>
        <w:spacing w:before="0" w:after="60"/>
        <w:ind w:left="504" w:hanging="360"/>
      </w:pPr>
      <w:r>
        <w:rPr>
          <w:rFonts w:ascii="Segoe UI Symbol" w:hAnsi="Segoe UI Symbol"/>
        </w:rPr>
        <w:t xml:space="preserve">☐ </w:t>
      </w:r>
      <w:r>
        <w:rPr/>
        <w:t>An opt-out process and an alternate activity exist, with no penalty to the student.</w:t>
      </w:r>
    </w:p>
    <w:p>
      <w:pPr>
        <w:spacing w:before="0" w:after="60"/>
        <w:ind w:left="504" w:hanging="360"/>
      </w:pPr>
      <w:r>
        <w:rPr>
          <w:rFonts w:ascii="Segoe UI Symbol" w:hAnsi="Segoe UI Symbol"/>
        </w:rPr>
        <w:t xml:space="preserve">☐ </w:t>
      </w:r>
      <w:r>
        <w:rPr/>
        <w:t>Staff have had a session that includes disclosure practice.</w:t>
      </w:r>
    </w:p>
    <w:p>
      <w:pPr>
        <w:spacing w:before="0" w:after="60"/>
        <w:ind w:left="504" w:hanging="360"/>
      </w:pPr>
      <w:r>
        <w:rPr>
          <w:rFonts w:ascii="Segoe UI Symbol" w:hAnsi="Segoe UI Symbol"/>
        </w:rPr>
        <w:t xml:space="preserve">☐ </w:t>
      </w:r>
      <w:r>
        <w:rPr/>
        <w:t>The paper surveys (if used) have been cleared by counsel, and the tracker is the only place results are entered.</w:t>
      </w:r>
    </w:p>
    <w:p>
      <w:pPr>
        <w:spacing w:before="0" w:after="60"/>
        <w:ind w:left="504" w:hanging="360"/>
      </w:pPr>
      <w:r>
        <w:rPr>
          <w:rFonts w:ascii="Segoe UI Symbol" w:hAnsi="Segoe UI Symbol"/>
        </w:rPr>
        <w:t xml:space="preserve">☐ </w:t>
      </w:r>
      <w:r>
        <w:rPr/>
        <w:t>Any Plus lesson on trafficking or mental health waits for its specialist or clinician review.</w:t>
      </w:r>
    </w:p>
    <w:p>
      <w:pPr>
        <w:spacing w:before="0" w:after="60"/>
        <w:ind w:left="504" w:hanging="360"/>
      </w:pPr>
      <w:r>
        <w:rPr>
          <w:rFonts w:ascii="Segoe UI Symbol" w:hAnsi="Segoe UI Symbol"/>
        </w:rPr>
        <w:t xml:space="preserve">☐ </w:t>
      </w:r>
      <w:r>
        <w:rPr/>
        <w:t>Web posting or LMS hosting passes your accessibility policy (see the Accessibility Statement for what was and was not checked).</w:t>
      </w:r>
    </w:p>
    <w:p>
      <w:pPr>
        <w:spacing w:before="0" w:after="60"/>
        <w:ind w:left="504" w:hanging="360"/>
      </w:pPr>
      <w:r>
        <w:rPr>
          <w:rFonts w:ascii="Segoe UI Symbol" w:hAnsi="Segoe UI Symbol"/>
        </w:rPr>
        <w:t xml:space="preserve">☐ </w:t>
      </w:r>
      <w:r>
        <w:rPr/>
        <w:t>Someone owns the annual August refresh of hotline numbers, links and the Help Map.</w:t>
      </w:r>
    </w:p>
    <w:p>
      <w:pPr>
        <w:pStyle w:val="Heading2"/>
        <w:pBdr>
          <w:top w:val="single" w:sz="18" w:space="6" w:color="FF8A3D"/>
        </w:pBdr>
        <w:spacing w:before="320"/>
      </w:pPr>
      <w:r>
        <w:rPr/>
        <w:t>What is in this pack</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4184"/>
        <w:gridCol w:w="5608"/>
      </w:tblGrid>
      <w:tr>
        <w:trPr>
          <w:tblHeader/>
          <w:cantSplit/>
        </w:trPr>
        <w:tc>
          <w:tcPr>
            <w:tcW w:type="dxa" w:w="4184"/>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FILE</w:t>
            </w:r>
          </w:p>
        </w:tc>
        <w:tc>
          <w:tcPr>
            <w:tcW w:type="dxa" w:w="560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USE</w:t>
            </w:r>
          </w:p>
        </w:tc>
      </w:tr>
      <w:tr>
        <w:trPr>
          <w:cantSplit/>
        </w:trPr>
        <w:tc>
          <w:tcPr>
            <w:tcW w:type="dxa" w:w="4184"/>
            <w:tcMar>
              <w:top w:w="50" w:type="dxa"/>
              <w:left w:w="0" w:type="dxa"/>
              <w:bottom w:w="60" w:type="dxa"/>
              <w:right w:w="90" w:type="dxa"/>
            </w:tcMar>
          </w:tcPr>
          <w:p>
            <w:pPr>
              <w:spacing w:before="0" w:after="0" w:line="252" w:lineRule="auto"/>
            </w:pPr>
            <w:r>
              <w:rPr>
                <w:rFonts w:ascii="Calibri" w:hAnsi="Calibri"/>
                <w:sz w:val="19"/>
              </w:rPr>
              <w:t>01 Procurement Brief</w:t>
            </w:r>
          </w:p>
        </w:tc>
        <w:tc>
          <w:tcPr>
            <w:tcW w:type="dxa" w:w="5608"/>
            <w:tcMar>
              <w:top w:w="50" w:type="dxa"/>
              <w:left w:w="90" w:type="dxa"/>
              <w:bottom w:w="60" w:type="dxa"/>
              <w:right w:w="90" w:type="dxa"/>
            </w:tcMar>
          </w:tcPr>
          <w:p>
            <w:pPr>
              <w:spacing w:before="0" w:after="0" w:line="252" w:lineRule="auto"/>
            </w:pPr>
            <w:r>
              <w:rPr>
                <w:rFonts w:ascii="Calibri" w:hAnsi="Calibri"/>
                <w:sz w:val="19"/>
              </w:rPr>
              <w:t>One page for purchasing or the business office</w:t>
            </w:r>
          </w:p>
        </w:tc>
      </w:tr>
      <w:tr>
        <w:trPr>
          <w:cantSplit/>
        </w:trPr>
        <w:tc>
          <w:tcPr>
            <w:tcW w:type="dxa" w:w="4184"/>
            <w:tcMar>
              <w:top w:w="50" w:type="dxa"/>
              <w:left w:w="0" w:type="dxa"/>
              <w:bottom w:w="60" w:type="dxa"/>
              <w:right w:w="90" w:type="dxa"/>
            </w:tcMar>
          </w:tcPr>
          <w:p>
            <w:pPr>
              <w:spacing w:before="0" w:after="0" w:line="252" w:lineRule="auto"/>
            </w:pPr>
            <w:r>
              <w:rPr>
                <w:rFonts w:ascii="Calibri" w:hAnsi="Calibri"/>
                <w:sz w:val="19"/>
              </w:rPr>
              <w:t>02 Security and Privacy Questionnaire</w:t>
            </w:r>
          </w:p>
        </w:tc>
        <w:tc>
          <w:tcPr>
            <w:tcW w:type="dxa" w:w="5608"/>
            <w:tcMar>
              <w:top w:w="50" w:type="dxa"/>
              <w:left w:w="90" w:type="dxa"/>
              <w:bottom w:w="60" w:type="dxa"/>
              <w:right w:w="90" w:type="dxa"/>
            </w:tcMar>
          </w:tcPr>
          <w:p>
            <w:pPr>
              <w:spacing w:before="0" w:after="0" w:line="252" w:lineRule="auto"/>
            </w:pPr>
            <w:r>
              <w:rPr>
                <w:rFonts w:ascii="Calibri" w:hAnsi="Calibri"/>
                <w:sz w:val="19"/>
              </w:rPr>
              <w:t>Completed, honest vendor-risk answers</w:t>
            </w:r>
          </w:p>
        </w:tc>
      </w:tr>
      <w:tr>
        <w:trPr>
          <w:cantSplit/>
        </w:trPr>
        <w:tc>
          <w:tcPr>
            <w:tcW w:type="dxa" w:w="4184"/>
            <w:tcMar>
              <w:top w:w="50" w:type="dxa"/>
              <w:left w:w="0" w:type="dxa"/>
              <w:bottom w:w="60" w:type="dxa"/>
              <w:right w:w="90" w:type="dxa"/>
            </w:tcMar>
          </w:tcPr>
          <w:p>
            <w:pPr>
              <w:spacing w:before="0" w:after="0" w:line="252" w:lineRule="auto"/>
            </w:pPr>
            <w:r>
              <w:rPr>
                <w:rFonts w:ascii="Calibri" w:hAnsi="Calibri"/>
                <w:sz w:val="19"/>
              </w:rPr>
              <w:t>03 Data-Flow Statement</w:t>
            </w:r>
          </w:p>
        </w:tc>
        <w:tc>
          <w:tcPr>
            <w:tcW w:type="dxa" w:w="5608"/>
            <w:tcMar>
              <w:top w:w="50" w:type="dxa"/>
              <w:left w:w="90" w:type="dxa"/>
              <w:bottom w:w="60" w:type="dxa"/>
              <w:right w:w="90" w:type="dxa"/>
            </w:tcMar>
          </w:tcPr>
          <w:p>
            <w:pPr>
              <w:spacing w:before="0" w:after="0" w:line="252" w:lineRule="auto"/>
            </w:pPr>
            <w:r>
              <w:rPr>
                <w:rFonts w:ascii="Calibri" w:hAnsi="Calibri"/>
                <w:sz w:val="19"/>
              </w:rPr>
              <w:t>"No data flows," with the evidence</w:t>
            </w:r>
          </w:p>
        </w:tc>
      </w:tr>
      <w:tr>
        <w:trPr>
          <w:cantSplit/>
        </w:trPr>
        <w:tc>
          <w:tcPr>
            <w:tcW w:type="dxa" w:w="4184"/>
            <w:tcMar>
              <w:top w:w="50" w:type="dxa"/>
              <w:left w:w="0" w:type="dxa"/>
              <w:bottom w:w="60" w:type="dxa"/>
              <w:right w:w="90" w:type="dxa"/>
            </w:tcMar>
          </w:tcPr>
          <w:p>
            <w:pPr>
              <w:spacing w:before="0" w:after="0" w:line="252" w:lineRule="auto"/>
            </w:pPr>
            <w:r>
              <w:rPr>
                <w:rFonts w:ascii="Calibri" w:hAnsi="Calibri"/>
                <w:sz w:val="19"/>
              </w:rPr>
              <w:t>04 Accessibility Conformance Statement</w:t>
            </w:r>
          </w:p>
        </w:tc>
        <w:tc>
          <w:tcPr>
            <w:tcW w:type="dxa" w:w="5608"/>
            <w:tcMar>
              <w:top w:w="50" w:type="dxa"/>
              <w:left w:w="90" w:type="dxa"/>
              <w:bottom w:w="60" w:type="dxa"/>
              <w:right w:w="90" w:type="dxa"/>
            </w:tcMar>
          </w:tcPr>
          <w:p>
            <w:pPr>
              <w:spacing w:before="0" w:after="0" w:line="252" w:lineRule="auto"/>
            </w:pPr>
            <w:r>
              <w:rPr>
                <w:rFonts w:ascii="Calibri" w:hAnsi="Calibri"/>
                <w:sz w:val="19"/>
              </w:rPr>
              <w:t>What was checked and what is not claimed</w:t>
            </w:r>
          </w:p>
        </w:tc>
      </w:tr>
      <w:tr>
        <w:trPr>
          <w:cantSplit/>
        </w:trPr>
        <w:tc>
          <w:tcPr>
            <w:tcW w:type="dxa" w:w="4184"/>
            <w:tcMar>
              <w:top w:w="50" w:type="dxa"/>
              <w:left w:w="0" w:type="dxa"/>
              <w:bottom w:w="60" w:type="dxa"/>
              <w:right w:w="90" w:type="dxa"/>
            </w:tcMar>
          </w:tcPr>
          <w:p>
            <w:pPr>
              <w:spacing w:before="0" w:after="0" w:line="252" w:lineRule="auto"/>
            </w:pPr>
            <w:r>
              <w:rPr>
                <w:rFonts w:ascii="Calibri" w:hAnsi="Calibri"/>
                <w:sz w:val="19"/>
              </w:rPr>
              <w:t>05 License and Open-Source Summary</w:t>
            </w:r>
          </w:p>
        </w:tc>
        <w:tc>
          <w:tcPr>
            <w:tcW w:type="dxa" w:w="5608"/>
            <w:tcMar>
              <w:top w:w="50" w:type="dxa"/>
              <w:left w:w="90" w:type="dxa"/>
              <w:bottom w:w="60" w:type="dxa"/>
              <w:right w:w="90" w:type="dxa"/>
            </w:tcMar>
          </w:tcPr>
          <w:p>
            <w:pPr>
              <w:spacing w:before="0" w:after="0" w:line="252" w:lineRule="auto"/>
            </w:pPr>
            <w:r>
              <w:rPr>
                <w:rFonts w:ascii="Calibri" w:hAnsi="Calibri"/>
                <w:sz w:val="19"/>
              </w:rPr>
              <w:t>CC BY-NC 4.0, brand rules, fonts, plus full license texts</w:t>
            </w:r>
          </w:p>
        </w:tc>
      </w:tr>
      <w:tr>
        <w:trPr>
          <w:cantSplit/>
        </w:trPr>
        <w:tc>
          <w:tcPr>
            <w:tcW w:type="dxa" w:w="4184"/>
            <w:tcMar>
              <w:top w:w="50" w:type="dxa"/>
              <w:left w:w="0" w:type="dxa"/>
              <w:bottom w:w="60" w:type="dxa"/>
              <w:right w:w="90" w:type="dxa"/>
            </w:tcMar>
          </w:tcPr>
          <w:p>
            <w:pPr>
              <w:spacing w:before="0" w:after="0" w:line="252" w:lineRule="auto"/>
            </w:pPr>
            <w:r>
              <w:rPr>
                <w:rFonts w:ascii="Calibri" w:hAnsi="Calibri"/>
                <w:sz w:val="19"/>
              </w:rPr>
              <w:t>06 Board Memo and Consent Agenda</w:t>
            </w:r>
          </w:p>
        </w:tc>
        <w:tc>
          <w:tcPr>
            <w:tcW w:type="dxa" w:w="5608"/>
            <w:tcMar>
              <w:top w:w="50" w:type="dxa"/>
              <w:left w:w="90" w:type="dxa"/>
              <w:bottom w:w="60" w:type="dxa"/>
              <w:right w:w="90" w:type="dxa"/>
            </w:tcMar>
          </w:tcPr>
          <w:p>
            <w:pPr>
              <w:spacing w:before="0" w:after="0" w:line="252" w:lineRule="auto"/>
            </w:pPr>
            <w:r>
              <w:rPr>
                <w:rFonts w:ascii="Calibri" w:hAnsi="Calibri"/>
                <w:sz w:val="19"/>
              </w:rPr>
              <w:t>Ready-to-edit board language</w:t>
            </w:r>
          </w:p>
        </w:tc>
      </w:tr>
      <w:tr>
        <w:trPr>
          <w:cantSplit/>
        </w:trPr>
        <w:tc>
          <w:tcPr>
            <w:tcW w:type="dxa" w:w="4184"/>
            <w:tcMar>
              <w:top w:w="50" w:type="dxa"/>
              <w:left w:w="0" w:type="dxa"/>
              <w:bottom w:w="60" w:type="dxa"/>
              <w:right w:w="90" w:type="dxa"/>
            </w:tcMar>
          </w:tcPr>
          <w:p>
            <w:pPr>
              <w:spacing w:before="0" w:after="0" w:line="252" w:lineRule="auto"/>
            </w:pPr>
            <w:r>
              <w:rPr>
                <w:rFonts w:ascii="Calibri" w:hAnsi="Calibri"/>
                <w:sz w:val="19"/>
              </w:rPr>
              <w:t>07 Model Policy Section</w:t>
            </w:r>
          </w:p>
        </w:tc>
        <w:tc>
          <w:tcPr>
            <w:tcW w:type="dxa" w:w="5608"/>
            <w:tcMar>
              <w:top w:w="50" w:type="dxa"/>
              <w:left w:w="90" w:type="dxa"/>
              <w:bottom w:w="60" w:type="dxa"/>
              <w:right w:w="90" w:type="dxa"/>
            </w:tcMar>
          </w:tcPr>
          <w:p>
            <w:pPr>
              <w:spacing w:before="0" w:after="0" w:line="252" w:lineRule="auto"/>
            </w:pPr>
            <w:r>
              <w:rPr>
                <w:rFonts w:ascii="Calibri" w:hAnsi="Calibri"/>
                <w:sz w:val="19"/>
              </w:rPr>
              <w:t>Internet safety and digital citizenship instruction</w:t>
            </w:r>
          </w:p>
        </w:tc>
      </w:tr>
      <w:tr>
        <w:trPr>
          <w:cantSplit/>
        </w:trPr>
        <w:tc>
          <w:tcPr>
            <w:tcW w:type="dxa" w:w="4184"/>
            <w:tcMar>
              <w:top w:w="50" w:type="dxa"/>
              <w:left w:w="0" w:type="dxa"/>
              <w:bottom w:w="60" w:type="dxa"/>
              <w:right w:w="90" w:type="dxa"/>
            </w:tcMar>
          </w:tcPr>
          <w:p>
            <w:pPr>
              <w:spacing w:before="0" w:after="0" w:line="252" w:lineRule="auto"/>
            </w:pPr>
            <w:r>
              <w:rPr>
                <w:rFonts w:ascii="Calibri" w:hAnsi="Calibri"/>
                <w:sz w:val="19"/>
              </w:rPr>
              <w:t>08 Parent Letter Set</w:t>
            </w:r>
          </w:p>
        </w:tc>
        <w:tc>
          <w:tcPr>
            <w:tcW w:type="dxa" w:w="5608"/>
            <w:tcMar>
              <w:top w:w="50" w:type="dxa"/>
              <w:left w:w="90" w:type="dxa"/>
              <w:bottom w:w="60" w:type="dxa"/>
              <w:right w:w="90" w:type="dxa"/>
            </w:tcMar>
          </w:tcPr>
          <w:p>
            <w:pPr>
              <w:spacing w:before="0" w:after="0" w:line="252" w:lineRule="auto"/>
            </w:pPr>
            <w:r>
              <w:rPr>
                <w:rFonts w:ascii="Calibri" w:hAnsi="Calibri"/>
                <w:sz w:val="19"/>
              </w:rPr>
              <w:t>General letter, pre-notice, opt-out slip</w:t>
            </w:r>
          </w:p>
        </w:tc>
      </w:tr>
      <w:tr>
        <w:trPr>
          <w:cantSplit/>
        </w:trPr>
        <w:tc>
          <w:tcPr>
            <w:tcW w:type="dxa" w:w="4184"/>
            <w:tcMar>
              <w:top w:w="50" w:type="dxa"/>
              <w:left w:w="0" w:type="dxa"/>
              <w:bottom w:w="60" w:type="dxa"/>
              <w:right w:w="90" w:type="dxa"/>
            </w:tcMar>
          </w:tcPr>
          <w:p>
            <w:pPr>
              <w:spacing w:before="0" w:after="0" w:line="252" w:lineRule="auto"/>
            </w:pPr>
            <w:r>
              <w:rPr>
                <w:rFonts w:ascii="Calibri" w:hAnsi="Calibri"/>
                <w:sz w:val="19"/>
              </w:rPr>
              <w:t>09 Staff Memo</w:t>
            </w:r>
          </w:p>
        </w:tc>
        <w:tc>
          <w:tcPr>
            <w:tcW w:type="dxa" w:w="5608"/>
            <w:tcMar>
              <w:top w:w="50" w:type="dxa"/>
              <w:left w:w="90" w:type="dxa"/>
              <w:bottom w:w="60" w:type="dxa"/>
              <w:right w:w="90" w:type="dxa"/>
            </w:tcMar>
          </w:tcPr>
          <w:p>
            <w:pPr>
              <w:spacing w:before="0" w:after="0" w:line="252" w:lineRule="auto"/>
            </w:pPr>
            <w:r>
              <w:rPr>
                <w:rFonts w:ascii="Calibri" w:hAnsi="Calibri"/>
                <w:sz w:val="19"/>
              </w:rPr>
              <w:t>What teachers need to know</w:t>
            </w:r>
          </w:p>
        </w:tc>
      </w:tr>
      <w:tr>
        <w:trPr>
          <w:cantSplit/>
        </w:trPr>
        <w:tc>
          <w:tcPr>
            <w:tcW w:type="dxa" w:w="4184"/>
            <w:tcMar>
              <w:top w:w="50" w:type="dxa"/>
              <w:left w:w="0" w:type="dxa"/>
              <w:bottom w:w="60" w:type="dxa"/>
              <w:right w:w="90" w:type="dxa"/>
            </w:tcMar>
          </w:tcPr>
          <w:p>
            <w:pPr>
              <w:spacing w:before="0" w:after="0" w:line="252" w:lineRule="auto"/>
            </w:pPr>
            <w:r>
              <w:rPr>
                <w:rFonts w:ascii="Calibri" w:hAnsi="Calibri"/>
                <w:sz w:val="19"/>
              </w:rPr>
              <w:t>10 Counselor Coordination Protocol</w:t>
            </w:r>
          </w:p>
        </w:tc>
        <w:tc>
          <w:tcPr>
            <w:tcW w:type="dxa" w:w="5608"/>
            <w:tcMar>
              <w:top w:w="50" w:type="dxa"/>
              <w:left w:w="90" w:type="dxa"/>
              <w:bottom w:w="60" w:type="dxa"/>
              <w:right w:w="90" w:type="dxa"/>
            </w:tcMar>
          </w:tcPr>
          <w:p>
            <w:pPr>
              <w:spacing w:before="0" w:after="0" w:line="252" w:lineRule="auto"/>
            </w:pPr>
            <w:r>
              <w:rPr>
                <w:rFonts w:ascii="Calibri" w:hAnsi="Calibri"/>
                <w:sz w:val="19"/>
              </w:rPr>
              <w:t>Who does what, before and after</w:t>
            </w:r>
          </w:p>
        </w:tc>
      </w:tr>
      <w:tr>
        <w:trPr>
          <w:cantSplit/>
        </w:trPr>
        <w:tc>
          <w:tcPr>
            <w:tcW w:type="dxa" w:w="4184"/>
            <w:tcMar>
              <w:top w:w="50" w:type="dxa"/>
              <w:left w:w="0" w:type="dxa"/>
              <w:bottom w:w="60" w:type="dxa"/>
              <w:right w:w="90" w:type="dxa"/>
            </w:tcMar>
          </w:tcPr>
          <w:p>
            <w:pPr>
              <w:spacing w:before="0" w:after="0" w:line="252" w:lineRule="auto"/>
            </w:pPr>
            <w:r>
              <w:rPr>
                <w:rFonts w:ascii="Calibri" w:hAnsi="Calibri"/>
                <w:sz w:val="19"/>
              </w:rPr>
              <w:t>11 Crisis and Disclosure Flowchart</w:t>
            </w:r>
          </w:p>
        </w:tc>
        <w:tc>
          <w:tcPr>
            <w:tcW w:type="dxa" w:w="5608"/>
            <w:tcMar>
              <w:top w:w="50" w:type="dxa"/>
              <w:left w:w="90" w:type="dxa"/>
              <w:bottom w:w="60" w:type="dxa"/>
              <w:right w:w="90" w:type="dxa"/>
            </w:tcMar>
          </w:tcPr>
          <w:p>
            <w:pPr>
              <w:spacing w:before="0" w:after="0" w:line="252" w:lineRule="auto"/>
            </w:pPr>
            <w:r>
              <w:rPr>
                <w:rFonts w:ascii="Calibri" w:hAnsi="Calibri"/>
                <w:sz w:val="19"/>
              </w:rPr>
              <w:t>One page, SVG and PDF</w:t>
            </w:r>
          </w:p>
        </w:tc>
      </w:tr>
      <w:tr>
        <w:trPr>
          <w:cantSplit/>
        </w:trPr>
        <w:tc>
          <w:tcPr>
            <w:tcW w:type="dxa" w:w="4184"/>
            <w:tcMar>
              <w:top w:w="50" w:type="dxa"/>
              <w:left w:w="0" w:type="dxa"/>
              <w:bottom w:w="60" w:type="dxa"/>
              <w:right w:w="90" w:type="dxa"/>
            </w:tcMar>
          </w:tcPr>
          <w:p>
            <w:pPr>
              <w:spacing w:before="0" w:after="0" w:line="252" w:lineRule="auto"/>
            </w:pPr>
            <w:r>
              <w:rPr>
                <w:rFonts w:ascii="Calibri" w:hAnsi="Calibri"/>
                <w:sz w:val="19"/>
              </w:rPr>
              <w:t>12 Scheduling and Pacing Planner</w:t>
            </w:r>
          </w:p>
        </w:tc>
        <w:tc>
          <w:tcPr>
            <w:tcW w:type="dxa" w:w="5608"/>
            <w:tcMar>
              <w:top w:w="50" w:type="dxa"/>
              <w:left w:w="90" w:type="dxa"/>
              <w:bottom w:w="60" w:type="dxa"/>
              <w:right w:w="90" w:type="dxa"/>
            </w:tcMar>
          </w:tcPr>
          <w:p>
            <w:pPr>
              <w:spacing w:before="0" w:after="0" w:line="252" w:lineRule="auto"/>
            </w:pPr>
            <w:r>
              <w:rPr>
                <w:rFonts w:ascii="Calibri" w:hAnsi="Calibri"/>
                <w:sz w:val="19"/>
              </w:rPr>
              <w:t>12-week and 36-week plans</w:t>
            </w:r>
          </w:p>
        </w:tc>
      </w:tr>
      <w:tr>
        <w:trPr>
          <w:cantSplit/>
        </w:trPr>
        <w:tc>
          <w:tcPr>
            <w:tcW w:type="dxa" w:w="4184"/>
            <w:tcMar>
              <w:top w:w="50" w:type="dxa"/>
              <w:left w:w="0" w:type="dxa"/>
              <w:bottom w:w="60" w:type="dxa"/>
              <w:right w:w="90" w:type="dxa"/>
            </w:tcMar>
          </w:tcPr>
          <w:p>
            <w:pPr>
              <w:spacing w:before="0" w:after="0" w:line="252" w:lineRule="auto"/>
            </w:pPr>
            <w:r>
              <w:rPr>
                <w:rFonts w:ascii="Calibri" w:hAnsi="Calibri"/>
                <w:sz w:val="19"/>
              </w:rPr>
              <w:t>13 Communications Kit</w:t>
            </w:r>
          </w:p>
        </w:tc>
        <w:tc>
          <w:tcPr>
            <w:tcW w:type="dxa" w:w="5608"/>
            <w:tcMar>
              <w:top w:w="50" w:type="dxa"/>
              <w:left w:w="90" w:type="dxa"/>
              <w:bottom w:w="60" w:type="dxa"/>
              <w:right w:w="90" w:type="dxa"/>
            </w:tcMar>
          </w:tcPr>
          <w:p>
            <w:pPr>
              <w:spacing w:before="0" w:after="0" w:line="252" w:lineRule="auto"/>
            </w:pPr>
            <w:r>
              <w:rPr>
                <w:rFonts w:ascii="Calibri" w:hAnsi="Calibri"/>
                <w:sz w:val="19"/>
              </w:rPr>
              <w:t>Newsletter, web and social text</w:t>
            </w:r>
          </w:p>
        </w:tc>
      </w:tr>
      <w:tr>
        <w:trPr>
          <w:cantSplit/>
        </w:trPr>
        <w:tc>
          <w:tcPr>
            <w:tcW w:type="dxa" w:w="4184"/>
            <w:tcMar>
              <w:top w:w="50" w:type="dxa"/>
              <w:left w:w="0" w:type="dxa"/>
              <w:bottom w:w="60" w:type="dxa"/>
              <w:right w:w="90" w:type="dxa"/>
            </w:tcMar>
          </w:tcPr>
          <w:p>
            <w:pPr>
              <w:spacing w:before="0" w:after="0" w:line="252" w:lineRule="auto"/>
            </w:pPr>
            <w:r>
              <w:rPr>
                <w:rFonts w:ascii="Calibri" w:hAnsi="Calibri"/>
                <w:sz w:val="19"/>
              </w:rPr>
              <w:t>14 IT and Library Checklist</w:t>
            </w:r>
          </w:p>
        </w:tc>
        <w:tc>
          <w:tcPr>
            <w:tcW w:type="dxa" w:w="5608"/>
            <w:tcMar>
              <w:top w:w="50" w:type="dxa"/>
              <w:left w:w="90" w:type="dxa"/>
              <w:bottom w:w="60" w:type="dxa"/>
              <w:right w:w="90" w:type="dxa"/>
            </w:tcMar>
          </w:tcPr>
          <w:p>
            <w:pPr>
              <w:spacing w:before="0" w:after="0" w:line="252" w:lineRule="auto"/>
            </w:pPr>
            <w:r>
              <w:rPr>
                <w:rFonts w:ascii="Calibri" w:hAnsi="Calibri"/>
                <w:sz w:val="19"/>
              </w:rPr>
              <w:t>Hosting, devices, printing, checksums</w:t>
            </w:r>
          </w:p>
        </w:tc>
      </w:tr>
      <w:tr>
        <w:trPr>
          <w:cantSplit/>
        </w:trPr>
        <w:tc>
          <w:tcPr>
            <w:tcW w:type="dxa" w:w="4184"/>
            <w:tcMar>
              <w:top w:w="50" w:type="dxa"/>
              <w:left w:w="0" w:type="dxa"/>
              <w:bottom w:w="60" w:type="dxa"/>
              <w:right w:w="90" w:type="dxa"/>
            </w:tcMar>
          </w:tcPr>
          <w:p>
            <w:pPr>
              <w:spacing w:before="0" w:after="0" w:line="252" w:lineRule="auto"/>
            </w:pPr>
            <w:r>
              <w:rPr>
                <w:rFonts w:ascii="Calibri" w:hAnsi="Calibri"/>
                <w:sz w:val="19"/>
              </w:rPr>
              <w:t>15 Implementation Tracker</w:t>
            </w:r>
          </w:p>
        </w:tc>
        <w:tc>
          <w:tcPr>
            <w:tcW w:type="dxa" w:w="5608"/>
            <w:tcMar>
              <w:top w:w="50" w:type="dxa"/>
              <w:left w:w="90" w:type="dxa"/>
              <w:bottom w:w="60" w:type="dxa"/>
              <w:right w:w="90" w:type="dxa"/>
            </w:tcMar>
          </w:tcPr>
          <w:p>
            <w:pPr>
              <w:spacing w:before="0" w:after="0" w:line="252" w:lineRule="auto"/>
            </w:pPr>
            <w:r>
              <w:rPr>
                <w:rFonts w:ascii="Calibri" w:hAnsi="Calibri"/>
                <w:sz w:val="19"/>
              </w:rPr>
              <w:t>Excel workbook and guide, no student data</w:t>
            </w:r>
          </w:p>
        </w:tc>
      </w:tr>
      <w:tr>
        <w:trPr>
          <w:cantSplit/>
        </w:trPr>
        <w:tc>
          <w:tcPr>
            <w:tcW w:type="dxa" w:w="4184"/>
            <w:tcMar>
              <w:top w:w="50" w:type="dxa"/>
              <w:left w:w="0" w:type="dxa"/>
              <w:bottom w:w="60" w:type="dxa"/>
              <w:right w:w="90" w:type="dxa"/>
            </w:tcMar>
          </w:tcPr>
          <w:p>
            <w:pPr>
              <w:spacing w:before="0" w:after="0" w:line="252" w:lineRule="auto"/>
            </w:pPr>
            <w:r>
              <w:rPr>
                <w:rFonts w:ascii="Calibri" w:hAnsi="Calibri"/>
                <w:sz w:val="19"/>
              </w:rPr>
              <w:t>16 Implementation in 30 Days</w:t>
            </w:r>
          </w:p>
        </w:tc>
        <w:tc>
          <w:tcPr>
            <w:tcW w:type="dxa" w:w="5608"/>
            <w:tcMar>
              <w:top w:w="50" w:type="dxa"/>
              <w:left w:w="90" w:type="dxa"/>
              <w:bottom w:w="60" w:type="dxa"/>
              <w:right w:w="90" w:type="dxa"/>
            </w:tcMar>
          </w:tcPr>
          <w:p>
            <w:pPr>
              <w:spacing w:before="0" w:after="0" w:line="252" w:lineRule="auto"/>
            </w:pPr>
            <w:r>
              <w:rPr>
                <w:rFonts w:ascii="Calibri" w:hAnsi="Calibri"/>
                <w:sz w:val="19"/>
              </w:rPr>
              <w:t>Week-by-week playbook</w:t>
            </w:r>
          </w:p>
        </w:tc>
      </w:tr>
      <w:tr>
        <w:trPr>
          <w:cantSplit/>
        </w:trPr>
        <w:tc>
          <w:tcPr>
            <w:tcW w:type="dxa" w:w="4184"/>
            <w:tcMar>
              <w:top w:w="50" w:type="dxa"/>
              <w:left w:w="0" w:type="dxa"/>
              <w:bottom w:w="60" w:type="dxa"/>
              <w:right w:w="90" w:type="dxa"/>
            </w:tcMar>
          </w:tcPr>
          <w:p>
            <w:pPr>
              <w:spacing w:before="0" w:after="0" w:line="252" w:lineRule="auto"/>
            </w:pPr>
            <w:r>
              <w:rPr>
                <w:rFonts w:ascii="Calibri" w:hAnsi="Calibri"/>
                <w:sz w:val="19"/>
              </w:rPr>
              <w:t>17 Hackles Day in a Box</w:t>
            </w:r>
          </w:p>
        </w:tc>
        <w:tc>
          <w:tcPr>
            <w:tcW w:type="dxa" w:w="5608"/>
            <w:tcMar>
              <w:top w:w="50" w:type="dxa"/>
              <w:left w:w="90" w:type="dxa"/>
              <w:bottom w:w="60" w:type="dxa"/>
              <w:right w:w="90" w:type="dxa"/>
            </w:tcMar>
          </w:tcPr>
          <w:p>
            <w:pPr>
              <w:spacing w:before="0" w:after="0" w:line="252" w:lineRule="auto"/>
            </w:pPr>
            <w:r>
              <w:rPr>
                <w:rFonts w:ascii="Calibri" w:hAnsi="Calibri"/>
                <w:sz w:val="19"/>
              </w:rPr>
              <w:t>Budget sheet and event outline</w:t>
            </w:r>
          </w:p>
        </w:tc>
      </w:tr>
    </w:tbl>
    <w:p>
      <w:pPr>
        <w:spacing w:before="0" w:after="0" w:line="160" w:lineRule="exact"/>
      </w:pPr>
      <w:r>
        <w:rPr>
          <w:sz w:val="2"/>
        </w:rPr>
      </w:r>
    </w:p>
    <w:sectPr w:rsidR="00FC693F" w:rsidRPr="0006063C" w:rsidSect="00034616">
      <w:headerReference w:type="default" r:id="rId9"/>
      <w:footerReference w:type="default" r:id="rId10"/>
      <w:footerReference w:type="first" r:id="rId11"/>
      <w:headerReference w:type="first" r:id="rId13"/>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quillsup.org · © 2026 Competence Collective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quillsup.org · © 2026 Competence Collective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START HERE FOR ADMINISTRATORS</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Hackles: Start Here for Administrators</dc:title>
  <dc:subject>The Hackles Kit</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