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Free Resource Procurement Brief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for local review, 2026-10-05. Not legal advice.</w:t>
      </w:r>
      <w:r>
        <w:rPr/>
        <w:t xml:space="preserve"> Hackles has not been reviewed, approved or endorsed by FLDOE or any state agency. It has not been evaluated in a controlled study. Every legal or statistical statement is marked [VERIFY] or [COUNSEL TO CONFIRM]; ask your own counsel before relying on it.</w:t>
      </w:r>
    </w:p>
    <w:p>
      <w:r>
        <w:rPr>
          <w:i/>
        </w:rPr>
        <w:t>One page for the purchasing office, business office or board clerk. Fill the brackets and file it with your resource log.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661"/>
        <w:gridCol w:w="7131"/>
      </w:tblGrid>
      <w:tr>
        <w:trPr>
          <w:tblHeader/>
          <w:cantSplit/>
        </w:trPr>
        <w:tc>
          <w:tcPr>
            <w:tcW w:type="dxa" w:w="266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71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Resource name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(K-12 online-safety kit; also a static Reader, Lab and Slides)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Publisher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Hackles team (quillsup.org). The legal owner is named in the kit's copyright line. Contact: [CONTACT: to be added]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Price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$0. No fee now, none later, no tiers.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Procurement type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 supplemental instructional resource (no purchase, no PO, no contract requested). Confirm your district's category for no-cost resources. [COUNSEL TO CONFIRM]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you receive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Downloadable files (PDF and Word) and static web folders (Reader, Lab, Slides). You host or print them yourselves.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Term and renewal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Use any version you have downloaded for as long as you like. The publisher plans an annual refresh and posts corrections; you decide whether to update.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Licence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Lesson text and teaching materials: CC BY-NC 4.0. The Hackles name, logos, characters and artwork are reserved: print and share them unaltered for classroom and family use; other uses need written permission. [VERIFY with counsel]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Non-commercial use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Schools, libraries and youth organizations using it with no charge: within the licence as we read it. Selling the kit or charging for workshops built on it needs permission. Fee-charging programs should ask. [COUNSEL TO CONFIRM]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 accounts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 data collected or stored by the publisher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The publisher never receives student data.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Staff or parent data collected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 through the kit. The publisher's own website may have an optional adult newsletter or feedback form; the kit files do not. [VERIFY current site]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Cookies, analytics, third-party scripts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 in the kit files, Reader, Lab, Slides or the static website pages. One local browser setting (theme choice) is stored by the Reader.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Network access needed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 once files are on your server or devices. Not even the first run needs an outside connection if you copy the folders locally.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Integration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No single sign-on, no roster sync, no LTI, no API. An LMS can link to or embed the static pages.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IT effort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Low. Copy files to a web folder, LMS or shared drive; print what you need. Verify downloads with the SHA-256 list.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Accessibility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HTML Reader and Lab checked with automated and scripted methods only. PDFs are untagged. Word files and slides not visually verified. No VPAT or third-party audit exists. See the Accessibility Conformance Statement.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Evidence of effectiveness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No controlled evaluation. Self-reported survey tallies are available through the tracker.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Review and approval status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AI-assisted drafting and desk review. Counselor, child-safety, attorney, accuracy and inclusion gates pending. Not approved or endorsed by any state agency.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Indemnity, insurance, warranty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 offered in the kit materials. Terms of use and liability language are pending counsel. [COUNSEL TO CONFIRM]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Data-privacy agreement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 needed, because no student data flows. Whether the publisher will sign a district agreement anyway is undecided. [COUNSEL TO CONFIRM]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Sponsorship or advertising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Lessons carry no sponsor branding.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Marketing to students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Adult-facing pages mention the publisher's other (college and professional) products; student pages never do.</w:t>
            </w:r>
          </w:p>
        </w:tc>
      </w:tr>
      <w:tr>
        <w:trPr>
          <w:cantSplit/>
        </w:trPr>
        <w:tc>
          <w:tcPr>
            <w:tcW w:type="dxa" w:w="2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Exit</w:t>
            </w:r>
          </w:p>
        </w:tc>
        <w:tc>
          <w:tcPr>
            <w:tcW w:type="dxa" w:w="7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 using it. Delete or archive your copies. Nothing to retrieve from the publisher.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Approvals this item usually needs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981"/>
        <w:gridCol w:w="1007"/>
        <w:gridCol w:w="804"/>
      </w:tblGrid>
      <w:tr>
        <w:trPr>
          <w:tblHeader/>
          <w:cantSplit/>
        </w:trPr>
        <w:tc>
          <w:tcPr>
            <w:tcW w:type="dxa" w:w="798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100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OWNER</w:t>
            </w:r>
          </w:p>
        </w:tc>
        <w:tc>
          <w:tcPr>
            <w:tcW w:type="dxa" w:w="80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DATE</w:t>
            </w:r>
          </w:p>
        </w:tc>
      </w:tr>
      <w:tr>
        <w:trPr>
          <w:cantSplit/>
          <w:trHeight w:val="432"/>
        </w:trPr>
        <w:tc>
          <w:tcPr>
            <w:tcW w:type="dxa" w:w="7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Instructional or curriculum office review (supplement or new materials process?)</w:t>
            </w:r>
          </w:p>
        </w:tc>
        <w:tc>
          <w:tcPr>
            <w:tcW w:type="dxa" w:w="10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[name]</w:t>
            </w:r>
          </w:p>
        </w:tc>
        <w:tc>
          <w:tcPr>
            <w:tcW w:type="dxa" w:w="8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review of sensitive lessons</w:t>
            </w:r>
          </w:p>
        </w:tc>
        <w:tc>
          <w:tcPr>
            <w:tcW w:type="dxa" w:w="10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[name]</w:t>
            </w:r>
          </w:p>
        </w:tc>
        <w:tc>
          <w:tcPr>
            <w:tcW w:type="dxa" w:w="8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Technology review (use the Security and Privacy Questionnaire)</w:t>
            </w:r>
          </w:p>
        </w:tc>
        <w:tc>
          <w:tcPr>
            <w:tcW w:type="dxa" w:w="10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[name]</w:t>
            </w:r>
          </w:p>
        </w:tc>
        <w:tc>
          <w:tcPr>
            <w:tcW w:type="dxa" w:w="8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Privacy officer sign-off (no student data; see Data-Flow Statement)</w:t>
            </w:r>
          </w:p>
        </w:tc>
        <w:tc>
          <w:tcPr>
            <w:tcW w:type="dxa" w:w="10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[name]</w:t>
            </w:r>
          </w:p>
        </w:tc>
        <w:tc>
          <w:tcPr>
            <w:tcW w:type="dxa" w:w="8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 review (state mandate, notice and opt-out, survey consent)</w:t>
            </w:r>
          </w:p>
        </w:tc>
        <w:tc>
          <w:tcPr>
            <w:tcW w:type="dxa" w:w="10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[name]</w:t>
            </w:r>
          </w:p>
        </w:tc>
        <w:tc>
          <w:tcPr>
            <w:tcW w:type="dxa" w:w="8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Board or cabinet record (see Board Memo)</w:t>
            </w:r>
          </w:p>
        </w:tc>
        <w:tc>
          <w:tcPr>
            <w:tcW w:type="dxa" w:w="10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[name]</w:t>
            </w:r>
          </w:p>
        </w:tc>
        <w:tc>
          <w:tcPr>
            <w:tcW w:type="dxa" w:w="8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Four things to know before you sign anything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The kit is a pilot-stage resource. Plan your own review on top of the procurement sign-off.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 "no student data" claim describes the kit as built. If you add a form, survey tool or account on your own systems, your own privacy rules apply to that addition.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State-law statements in the kit and State Atlas are research notes, not legal advice.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Check the licence terms with counsel if anyone will charge fees or sell anything connected to the kit.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FREE RESOURCE PROCUREMENT BRIEF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Hackles: Free Resource Procurement Brief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