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Licence and Open-Source Summary</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This summary helps a purchasing office or library decide what it may do with the kit. It is a plain-language reading, not legal advice, and counsel has not reviewed it. [COUNSEL TO CONFIRM] The full licence texts are in the companion file 05b_License_Texts_Appendix.</w:t>
      </w:r>
    </w:p>
    <w:p>
      <w:pPr>
        <w:pStyle w:val="Heading2"/>
        <w:pBdr>
          <w:top w:val="single" w:sz="18" w:space="6" w:color="FF8A3D"/>
        </w:pBdr>
        <w:spacing w:before="320"/>
      </w:pPr>
      <w:r>
        <w:rPr/>
        <w:t>Two layers of rights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43"/>
        <w:gridCol w:w="2123"/>
        <w:gridCol w:w="2973"/>
        <w:gridCol w:w="3153"/>
      </w:tblGrid>
      <w:tr>
        <w:trPr>
          <w:tblHeader/>
          <w:cantSplit/>
        </w:trPr>
        <w:tc>
          <w:tcPr>
            <w:tcW w:type="dxa" w:w="15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LAYER</w:t>
            </w:r>
          </w:p>
        </w:tc>
        <w:tc>
          <w:tcPr>
            <w:tcW w:type="dxa" w:w="21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COVERS</w:t>
            </w:r>
          </w:p>
        </w:tc>
        <w:tc>
          <w:tcPr>
            <w:tcW w:type="dxa" w:w="29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LICENCE</w:t>
            </w:r>
          </w:p>
        </w:tc>
        <w:tc>
          <w:tcPr>
            <w:tcW w:type="dxa" w:w="31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MAY DO</w:t>
            </w:r>
          </w:p>
        </w:tc>
      </w:tr>
      <w:tr>
        <w:trPr>
          <w:cantSplit/>
        </w:trPr>
        <w:tc>
          <w:tcPr>
            <w:tcW w:type="dxa" w:w="1543"/>
            <w:tcMar>
              <w:top w:w="50" w:type="dxa"/>
              <w:left w:w="0" w:type="dxa"/>
              <w:bottom w:w="60" w:type="dxa"/>
              <w:right w:w="90" w:type="dxa"/>
            </w:tcMar>
          </w:tcPr>
          <w:p>
            <w:pPr>
              <w:spacing w:before="0" w:after="0" w:line="252" w:lineRule="auto"/>
            </w:pPr>
            <w:r>
              <w:rPr>
                <w:rFonts w:ascii="Calibri" w:hAnsi="Calibri"/>
                <w:sz w:val="19"/>
              </w:rPr>
              <w:t>Lesson text and teaching materials</w:t>
            </w:r>
          </w:p>
        </w:tc>
        <w:tc>
          <w:tcPr>
            <w:tcW w:type="dxa" w:w="2123"/>
            <w:tcMar>
              <w:top w:w="50" w:type="dxa"/>
              <w:left w:w="90" w:type="dxa"/>
              <w:bottom w:w="60" w:type="dxa"/>
              <w:right w:w="90" w:type="dxa"/>
            </w:tcMar>
          </w:tcPr>
          <w:p>
            <w:pPr>
              <w:spacing w:before="0" w:after="0" w:line="252" w:lineRule="auto"/>
            </w:pPr>
            <w:r>
              <w:rPr>
                <w:rFonts w:ascii="Calibri" w:hAnsi="Calibri"/>
                <w:sz w:val="19"/>
              </w:rPr>
              <w:t>Teacher guides, student books, scripts, worksheets, letters, checklists, assessment forms, this Admin Pack</w:t>
            </w:r>
          </w:p>
        </w:tc>
        <w:tc>
          <w:tcPr>
            <w:tcW w:type="dxa" w:w="2973"/>
            <w:tcMar>
              <w:top w:w="50" w:type="dxa"/>
              <w:left w:w="90" w:type="dxa"/>
              <w:bottom w:w="60" w:type="dxa"/>
              <w:right w:w="90" w:type="dxa"/>
            </w:tcMar>
          </w:tcPr>
          <w:p>
            <w:pPr>
              <w:spacing w:before="0" w:after="0" w:line="252" w:lineRule="auto"/>
            </w:pPr>
            <w:r>
              <w:rPr>
                <w:rFonts w:ascii="Calibri" w:hAnsi="Calibri"/>
                <w:sz w:val="19"/>
              </w:rPr>
              <w:t>Creative Commons Attribution-NonCommercial 4.0 International (CC BY-NC 4.0)</w:t>
            </w:r>
          </w:p>
        </w:tc>
        <w:tc>
          <w:tcPr>
            <w:tcW w:type="dxa" w:w="3153"/>
            <w:tcMar>
              <w:top w:w="50" w:type="dxa"/>
              <w:left w:w="90" w:type="dxa"/>
              <w:bottom w:w="60" w:type="dxa"/>
              <w:right w:w="90" w:type="dxa"/>
            </w:tcMar>
          </w:tcPr>
          <w:p>
            <w:pPr>
              <w:spacing w:before="0" w:after="0" w:line="252" w:lineRule="auto"/>
            </w:pPr>
            <w:r>
              <w:rPr>
                <w:rFonts w:ascii="Calibri" w:hAnsi="Calibri"/>
                <w:sz w:val="19"/>
              </w:rPr>
              <w:t>Copy, print, share and adapt for non-commercial use, with credit, a link to the licence, and a note if you changed anything</w:t>
            </w:r>
          </w:p>
        </w:tc>
      </w:tr>
      <w:tr>
        <w:trPr>
          <w:cantSplit/>
        </w:trPr>
        <w:tc>
          <w:tcPr>
            <w:tcW w:type="dxa" w:w="1543"/>
            <w:tcMar>
              <w:top w:w="50" w:type="dxa"/>
              <w:left w:w="0" w:type="dxa"/>
              <w:bottom w:w="60" w:type="dxa"/>
              <w:right w:w="90" w:type="dxa"/>
            </w:tcMar>
          </w:tcPr>
          <w:p>
            <w:pPr>
              <w:spacing w:before="0" w:after="0" w:line="252" w:lineRule="auto"/>
            </w:pPr>
            <w:r>
              <w:rPr>
                <w:rFonts w:ascii="Calibri" w:hAnsi="Calibri"/>
                <w:sz w:val="19"/>
              </w:rPr>
              <w:t>The Hackles name, logos, characters and artwork</w:t>
            </w:r>
          </w:p>
        </w:tc>
        <w:tc>
          <w:tcPr>
            <w:tcW w:type="dxa" w:w="2123"/>
            <w:tcMar>
              <w:top w:w="50" w:type="dxa"/>
              <w:left w:w="90" w:type="dxa"/>
              <w:bottom w:w="60" w:type="dxa"/>
              <w:right w:w="90" w:type="dxa"/>
            </w:tcMar>
          </w:tcPr>
          <w:p>
            <w:pPr>
              <w:spacing w:before="0" w:after="0" w:line="252" w:lineRule="auto"/>
            </w:pPr>
            <w:r>
              <w:rPr>
                <w:rFonts w:ascii="Calibri" w:hAnsi="Calibri"/>
                <w:sz w:val="19"/>
              </w:rPr>
              <w:t>The word Hackles, logos, the mascot Hackle, the cast of children, and illustrations</w:t>
            </w:r>
          </w:p>
        </w:tc>
        <w:tc>
          <w:tcPr>
            <w:tcW w:type="dxa" w:w="2973"/>
            <w:tcMar>
              <w:top w:w="50" w:type="dxa"/>
              <w:left w:w="90" w:type="dxa"/>
              <w:bottom w:w="60" w:type="dxa"/>
              <w:right w:w="90" w:type="dxa"/>
            </w:tcMar>
          </w:tcPr>
          <w:p>
            <w:pPr>
              <w:spacing w:before="0" w:after="0" w:line="252" w:lineRule="auto"/>
            </w:pPr>
            <w:r>
              <w:rPr>
                <w:rFonts w:ascii="Calibri" w:hAnsi="Calibri"/>
                <w:sz w:val="19"/>
              </w:rPr>
              <w:t>Reserved. Not under Creative Commons</w:t>
            </w:r>
          </w:p>
        </w:tc>
        <w:tc>
          <w:tcPr>
            <w:tcW w:type="dxa" w:w="3153"/>
            <w:tcMar>
              <w:top w:w="50" w:type="dxa"/>
              <w:left w:w="90" w:type="dxa"/>
              <w:bottom w:w="60" w:type="dxa"/>
              <w:right w:w="90" w:type="dxa"/>
            </w:tcMar>
          </w:tcPr>
          <w:p>
            <w:pPr>
              <w:spacing w:before="0" w:after="0" w:line="252" w:lineRule="auto"/>
            </w:pPr>
            <w:r>
              <w:rPr>
                <w:rFonts w:ascii="Calibri" w:hAnsi="Calibri"/>
                <w:sz w:val="19"/>
              </w:rPr>
              <w:t xml:space="preserve">Print and share them </w:t>
            </w:r>
            <w:r>
              <w:rPr>
                <w:rFonts w:ascii="Calibri" w:hAnsi="Calibri"/>
                <w:b/>
                <w:sz w:val="19"/>
              </w:rPr>
              <w:t>unaltered</w:t>
            </w:r>
            <w:r>
              <w:rPr>
                <w:rFonts w:ascii="Calibri" w:hAnsi="Calibri"/>
                <w:sz w:val="19"/>
              </w:rPr>
              <w:t xml:space="preserve"> for classroom and family use. Anything else (changing them, using them on products, merchandise, ads, or in a way that suggests endorsement) needs written permission</w:t>
            </w:r>
          </w:p>
        </w:tc>
      </w:tr>
      <w:tr>
        <w:trPr>
          <w:cantSplit/>
        </w:trPr>
        <w:tc>
          <w:tcPr>
            <w:tcW w:type="dxa" w:w="1543"/>
            <w:tcMar>
              <w:top w:w="50" w:type="dxa"/>
              <w:left w:w="0" w:type="dxa"/>
              <w:bottom w:w="60" w:type="dxa"/>
              <w:right w:w="90" w:type="dxa"/>
            </w:tcMar>
          </w:tcPr>
          <w:p>
            <w:pPr>
              <w:spacing w:before="0" w:after="0" w:line="252" w:lineRule="auto"/>
            </w:pPr>
            <w:r>
              <w:rPr>
                <w:rFonts w:ascii="Calibri" w:hAnsi="Calibri"/>
                <w:sz w:val="19"/>
              </w:rPr>
              <w:t>Third-party fonts</w:t>
            </w:r>
          </w:p>
        </w:tc>
        <w:tc>
          <w:tcPr>
            <w:tcW w:type="dxa" w:w="2123"/>
            <w:tcMar>
              <w:top w:w="50" w:type="dxa"/>
              <w:left w:w="90" w:type="dxa"/>
              <w:bottom w:w="60" w:type="dxa"/>
              <w:right w:w="90" w:type="dxa"/>
            </w:tcMar>
          </w:tcPr>
          <w:p>
            <w:pPr>
              <w:spacing w:before="0" w:after="0" w:line="252" w:lineRule="auto"/>
            </w:pPr>
            <w:r>
              <w:rPr>
                <w:rFonts w:ascii="Calibri" w:hAnsi="Calibri"/>
                <w:sz w:val="19"/>
              </w:rPr>
              <w:t>Fraunces, Source Serif 4, Caveat, Special Elite</w:t>
            </w:r>
          </w:p>
        </w:tc>
        <w:tc>
          <w:tcPr>
            <w:tcW w:type="dxa" w:w="2973"/>
            <w:tcMar>
              <w:top w:w="50" w:type="dxa"/>
              <w:left w:w="90" w:type="dxa"/>
              <w:bottom w:w="60" w:type="dxa"/>
              <w:right w:w="90" w:type="dxa"/>
            </w:tcMar>
          </w:tcPr>
          <w:p>
            <w:pPr>
              <w:spacing w:before="0" w:after="0" w:line="252" w:lineRule="auto"/>
            </w:pPr>
            <w:r>
              <w:rPr>
                <w:rFonts w:ascii="Calibri" w:hAnsi="Calibri"/>
                <w:sz w:val="19"/>
              </w:rPr>
              <w:t>SIL Open Font License 1.1 (first three); Apache License 2.0 (Special Elite)</w:t>
            </w:r>
          </w:p>
        </w:tc>
        <w:tc>
          <w:tcPr>
            <w:tcW w:type="dxa" w:w="3153"/>
            <w:tcMar>
              <w:top w:w="50" w:type="dxa"/>
              <w:left w:w="90" w:type="dxa"/>
              <w:bottom w:w="60" w:type="dxa"/>
              <w:right w:w="90" w:type="dxa"/>
            </w:tcMar>
          </w:tcPr>
          <w:p>
            <w:pPr>
              <w:spacing w:before="0" w:after="0" w:line="252" w:lineRule="auto"/>
            </w:pPr>
            <w:r>
              <w:rPr>
                <w:rFonts w:ascii="Calibri" w:hAnsi="Calibri"/>
                <w:sz w:val="19"/>
              </w:rPr>
              <w:t>Use and redistribute under their own terms, with their notices kept</w:t>
            </w:r>
          </w:p>
        </w:tc>
      </w:tr>
    </w:tbl>
    <w:p>
      <w:pPr>
        <w:spacing w:before="0" w:after="0" w:line="160" w:lineRule="exact"/>
      </w:pPr>
      <w:r>
        <w:rPr>
          <w:sz w:val="2"/>
        </w:rPr>
      </w:r>
    </w:p>
    <w:p>
      <w:r>
        <w:rPr/>
        <w:t>The notice that appears on each document says this in one paragraph: ©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pPr>
        <w:pStyle w:val="Heading2"/>
        <w:pBdr>
          <w:top w:val="single" w:sz="18" w:space="6" w:color="FF8A3D"/>
        </w:pBdr>
        <w:spacing w:before="320"/>
      </w:pPr>
      <w:r>
        <w:rPr/>
        <w:t>CC BY-NC 4.0 in plain language</w:t>
      </w:r>
    </w:p>
    <w:p>
      <w:r>
        <w:rPr>
          <w:b/>
        </w:rPr>
        <w:t>You may:</w:t>
      </w:r>
      <w:r>
        <w:rPr/>
        <w:t xml:space="preserve"> share (copy and redistribute in any format) and adapt (remix, transform, build upon), for non-commercial purposes.</w:t>
      </w:r>
    </w:p>
    <w:p>
      <w:r>
        <w:rPr>
          <w:b/>
        </w:rPr>
        <w:t>You must:</w:t>
      </w:r>
    </w:p>
    <w:p>
      <w:pPr>
        <w:pStyle w:val="ListBullet"/>
      </w:pPr>
      <w:r>
        <w:rPr/>
        <w:t>Give attribution: credit "Hackles (quillsup.org)" and keep the kit's copyright line, link to the licence (https://creativecommons.org/licenses/by-nc/4.0/), and say if you made changes.</w:t>
      </w:r>
    </w:p>
    <w:p>
      <w:pPr>
        <w:pStyle w:val="ListBullet"/>
      </w:pPr>
      <w:r>
        <w:rPr/>
        <w:t>Not apply legal terms or technology that restrict others from doing what the licence allows.</w:t>
      </w:r>
    </w:p>
    <w:p>
      <w:pPr>
        <w:pStyle w:val="ListBullet"/>
      </w:pPr>
      <w:r>
        <w:rPr/>
        <w:t>Not suggest that the Hackles team endorses you or your adaptation.</w:t>
      </w:r>
    </w:p>
    <w:p>
      <w:r>
        <w:rPr>
          <w:b/>
        </w:rPr>
        <w:t>You may not:</w:t>
      </w:r>
      <w:r>
        <w:rPr/>
        <w:t xml:space="preserve"> use the material for commercial purposes. Creative Commons defines this as primarily intended for or directed toward commercial advantage or monetary compensation. [VERIFY against the licence text in the appendix]</w:t>
      </w:r>
    </w:p>
    <w:p>
      <w:pPr>
        <w:pStyle w:val="Heading3"/>
      </w:pPr>
      <w:r>
        <w:rPr/>
        <w:t>Everyday questions (our reading; counsel decides)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94"/>
        <w:gridCol w:w="6098"/>
      </w:tblGrid>
      <w:tr>
        <w:trPr>
          <w:tblHeader/>
          <w:cantSplit/>
        </w:trPr>
        <w:tc>
          <w:tcPr>
            <w:tcW w:type="dxa" w:w="36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60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OUR READING</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public school prints the kit for classes</w:t>
            </w:r>
          </w:p>
        </w:tc>
        <w:tc>
          <w:tcPr>
            <w:tcW w:type="dxa" w:w="6098"/>
            <w:tcMar>
              <w:top w:w="50" w:type="dxa"/>
              <w:left w:w="90" w:type="dxa"/>
              <w:bottom w:w="60" w:type="dxa"/>
              <w:right w:w="90" w:type="dxa"/>
            </w:tcMar>
          </w:tcPr>
          <w:p>
            <w:pPr>
              <w:spacing w:before="0" w:after="0" w:line="252" w:lineRule="auto"/>
            </w:pPr>
            <w:r>
              <w:rPr>
                <w:rFonts w:ascii="Calibri" w:hAnsi="Calibri"/>
                <w:sz w:val="19"/>
              </w:rPr>
              <w:t>Non-commercial: yes</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library or youth group runs sessions free of charge</w:t>
            </w:r>
          </w:p>
        </w:tc>
        <w:tc>
          <w:tcPr>
            <w:tcW w:type="dxa" w:w="6098"/>
            <w:tcMar>
              <w:top w:w="50" w:type="dxa"/>
              <w:left w:w="90" w:type="dxa"/>
              <w:bottom w:w="60" w:type="dxa"/>
              <w:right w:w="90" w:type="dxa"/>
            </w:tcMar>
          </w:tcPr>
          <w:p>
            <w:pPr>
              <w:spacing w:before="0" w:after="0" w:line="252" w:lineRule="auto"/>
            </w:pPr>
            <w:r>
              <w:rPr>
                <w:rFonts w:ascii="Calibri" w:hAnsi="Calibri"/>
                <w:sz w:val="19"/>
              </w:rPr>
              <w:t>Non-commercial: yes</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PTA hands out family letters at a free event</w:t>
            </w:r>
          </w:p>
        </w:tc>
        <w:tc>
          <w:tcPr>
            <w:tcW w:type="dxa" w:w="6098"/>
            <w:tcMar>
              <w:top w:w="50" w:type="dxa"/>
              <w:left w:w="90" w:type="dxa"/>
              <w:bottom w:w="60" w:type="dxa"/>
              <w:right w:w="90" w:type="dxa"/>
            </w:tcMar>
          </w:tcPr>
          <w:p>
            <w:pPr>
              <w:spacing w:before="0" w:after="0" w:line="252" w:lineRule="auto"/>
            </w:pPr>
            <w:r>
              <w:rPr>
                <w:rFonts w:ascii="Calibri" w:hAnsi="Calibri"/>
                <w:sz w:val="19"/>
              </w:rPr>
              <w:t>Non-commercial: yes</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district charges students a materials fee that covers only print cost</w:t>
            </w:r>
          </w:p>
        </w:tc>
        <w:tc>
          <w:tcPr>
            <w:tcW w:type="dxa" w:w="6098"/>
            <w:tcMar>
              <w:top w:w="50" w:type="dxa"/>
              <w:left w:w="90" w:type="dxa"/>
              <w:bottom w:w="60" w:type="dxa"/>
              <w:right w:w="90" w:type="dxa"/>
            </w:tcMar>
          </w:tcPr>
          <w:p>
            <w:pPr>
              <w:spacing w:before="0" w:after="0" w:line="252" w:lineRule="auto"/>
            </w:pPr>
            <w:r>
              <w:rPr>
                <w:rFonts w:ascii="Calibri" w:hAnsi="Calibri"/>
                <w:sz w:val="19"/>
              </w:rPr>
              <w:t>Likely fine, but ask. [COUNSEL TO CONFIRM]</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consultant charges a fee to deliver Hackles lessons</w:t>
            </w:r>
          </w:p>
        </w:tc>
        <w:tc>
          <w:tcPr>
            <w:tcW w:type="dxa" w:w="6098"/>
            <w:tcMar>
              <w:top w:w="50" w:type="dxa"/>
              <w:left w:w="90" w:type="dxa"/>
              <w:bottom w:w="60" w:type="dxa"/>
              <w:right w:w="90" w:type="dxa"/>
            </w:tcMar>
          </w:tcPr>
          <w:p>
            <w:pPr>
              <w:spacing w:before="0" w:after="0" w:line="252" w:lineRule="auto"/>
            </w:pPr>
            <w:r>
              <w:rPr>
                <w:rFonts w:ascii="Calibri" w:hAnsi="Calibri"/>
                <w:sz w:val="19"/>
              </w:rPr>
              <w:t>Probably commercial. Ask for permission</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company sells a workbook built from the lessons</w:t>
            </w:r>
          </w:p>
        </w:tc>
        <w:tc>
          <w:tcPr>
            <w:tcW w:type="dxa" w:w="6098"/>
            <w:tcMar>
              <w:top w:w="50" w:type="dxa"/>
              <w:left w:w="90" w:type="dxa"/>
              <w:bottom w:w="60" w:type="dxa"/>
              <w:right w:w="90" w:type="dxa"/>
            </w:tcMar>
          </w:tcPr>
          <w:p>
            <w:pPr>
              <w:spacing w:before="0" w:after="0" w:line="252" w:lineRule="auto"/>
            </w:pPr>
            <w:r>
              <w:rPr>
                <w:rFonts w:ascii="Calibri" w:hAnsi="Calibri"/>
                <w:sz w:val="19"/>
              </w:rPr>
              <w:t>Commercial. Needs permission</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school translates a letter into another language</w:t>
            </w:r>
          </w:p>
        </w:tc>
        <w:tc>
          <w:tcPr>
            <w:tcW w:type="dxa" w:w="6098"/>
            <w:tcMar>
              <w:top w:w="50" w:type="dxa"/>
              <w:left w:w="90" w:type="dxa"/>
              <w:bottom w:w="60" w:type="dxa"/>
              <w:right w:w="90" w:type="dxa"/>
            </w:tcMar>
          </w:tcPr>
          <w:p>
            <w:pPr>
              <w:spacing w:before="0" w:after="0" w:line="252" w:lineRule="auto"/>
            </w:pPr>
            <w:r>
              <w:rPr>
                <w:rFonts w:ascii="Calibri" w:hAnsi="Calibri"/>
                <w:sz w:val="19"/>
              </w:rPr>
              <w:t>Allowed with attribution and a "changes made" note. You are responsible for the translation. Have a qualified translator check hotline and disclosure wording</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A school edits a lesson</w:t>
            </w:r>
          </w:p>
        </w:tc>
        <w:tc>
          <w:tcPr>
            <w:tcW w:type="dxa" w:w="6098"/>
            <w:tcMar>
              <w:top w:w="50" w:type="dxa"/>
              <w:left w:w="90" w:type="dxa"/>
              <w:bottom w:w="60" w:type="dxa"/>
              <w:right w:w="90" w:type="dxa"/>
            </w:tcMar>
          </w:tcPr>
          <w:p>
            <w:pPr>
              <w:spacing w:before="0" w:after="0" w:line="252" w:lineRule="auto"/>
            </w:pPr>
            <w:r>
              <w:rPr>
                <w:rFonts w:ascii="Calibri" w:hAnsi="Calibri"/>
                <w:sz w:val="19"/>
              </w:rPr>
              <w:t>Allowed under CC BY-NC. Say you edited it. Do not present it as the publisher's version. Re-review any safety content you change</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Posting the PDFs on the district website</w:t>
            </w:r>
          </w:p>
        </w:tc>
        <w:tc>
          <w:tcPr>
            <w:tcW w:type="dxa" w:w="6098"/>
            <w:tcMar>
              <w:top w:w="50" w:type="dxa"/>
              <w:left w:w="90" w:type="dxa"/>
              <w:bottom w:w="60" w:type="dxa"/>
              <w:right w:w="90" w:type="dxa"/>
            </w:tcMar>
          </w:tcPr>
          <w:p>
            <w:pPr>
              <w:spacing w:before="0" w:after="0" w:line="252" w:lineRule="auto"/>
            </w:pPr>
            <w:r>
              <w:rPr>
                <w:rFonts w:ascii="Calibri" w:hAnsi="Calibri"/>
                <w:sz w:val="19"/>
              </w:rPr>
              <w:t>Allowed. You own the accessibility of what you post</w:t>
            </w:r>
          </w:p>
        </w:tc>
      </w:tr>
      <w:tr>
        <w:trPr>
          <w:cantSplit/>
        </w:trPr>
        <w:tc>
          <w:tcPr>
            <w:tcW w:type="dxa" w:w="3694"/>
            <w:tcMar>
              <w:top w:w="50" w:type="dxa"/>
              <w:left w:w="0" w:type="dxa"/>
              <w:bottom w:w="60" w:type="dxa"/>
              <w:right w:w="90" w:type="dxa"/>
            </w:tcMar>
          </w:tcPr>
          <w:p>
            <w:pPr>
              <w:spacing w:before="0" w:after="0" w:line="252" w:lineRule="auto"/>
            </w:pPr>
            <w:r>
              <w:rPr>
                <w:rFonts w:ascii="Calibri" w:hAnsi="Calibri"/>
                <w:sz w:val="19"/>
              </w:rPr>
              <w:t>Putting the kit on a teacher-marketplace site</w:t>
            </w:r>
          </w:p>
        </w:tc>
        <w:tc>
          <w:tcPr>
            <w:tcW w:type="dxa" w:w="6098"/>
            <w:tcMar>
              <w:top w:w="50" w:type="dxa"/>
              <w:left w:w="90" w:type="dxa"/>
              <w:bottom w:w="60" w:type="dxa"/>
              <w:right w:w="90" w:type="dxa"/>
            </w:tcMar>
          </w:tcPr>
          <w:p>
            <w:pPr>
              <w:spacing w:before="0" w:after="0" w:line="252" w:lineRule="auto"/>
            </w:pPr>
            <w:r>
              <w:rPr>
                <w:rFonts w:ascii="Calibri" w:hAnsi="Calibri"/>
                <w:sz w:val="19"/>
              </w:rPr>
              <w:t>The marketplace's terms may conflict with NC. Check them. [COUNSEL TO CONFIRM]</w:t>
            </w:r>
          </w:p>
        </w:tc>
      </w:tr>
    </w:tbl>
    <w:p>
      <w:pPr>
        <w:spacing w:before="0" w:after="0" w:line="160" w:lineRule="exact"/>
      </w:pPr>
      <w:r>
        <w:rPr>
          <w:sz w:val="2"/>
        </w:rPr>
      </w:r>
    </w:p>
    <w:p>
      <w:pPr>
        <w:pStyle w:val="Heading2"/>
        <w:pBdr>
          <w:top w:val="single" w:sz="18" w:space="6" w:color="FF8A3D"/>
        </w:pBdr>
        <w:spacing w:before="320"/>
      </w:pPr>
      <w:r>
        <w:rPr/>
        <w:t>Brand assets</w:t>
      </w:r>
    </w:p>
    <w:p>
      <w:r>
        <w:rPr/>
        <w:t>The name, logos, mascot and artwork are not licensed under Creative Commons. A Creative Commons licence does not grant trademark rights. [VERIFY with counsel] The kit's rule is simple: print and share them exactly as published for classroom and family use. If you want to recolour the mascot, put it on a T-shirt, make a poster for a paid event, or use the name for your own program, ask first. [CONTACT: to be added]</w:t>
      </w:r>
    </w:p>
    <w:p>
      <w:r>
        <w:rPr>
          <w:b/>
        </w:rPr>
        <w:t>Name status.</w:t>
      </w:r>
      <w:r>
        <w:rPr/>
        <w:t xml:space="preserve"> The name "Hackles" has not been cleared for trademark. A 2001 to 2004 webcomic used the name, and the domain hackles.org is tied to it, not to this kit. If the name changes after counsel's clearance, expect updated files. Keep your own copies labelled with the version and date you downloaded. [COUNSEL TO CONFIRM]</w:t>
      </w:r>
    </w:p>
    <w:p>
      <w:r>
        <w:rPr>
          <w:b/>
        </w:rPr>
        <w:t>Ownership chain.</w:t>
      </w:r>
      <w:r>
        <w:rPr/>
        <w:t xml:space="preserve"> The publisher's checklist still lists as open a confirmation that the publisher owns or has licensed all text and art, including any contractor and AI-assisted material. Counsel has not confirmed this. A district that needs that assurance should ask for it in writing before relying on the licence for anything beyond routine classroom use. [COUNSEL TO CONFIRM]</w:t>
      </w:r>
    </w:p>
    <w:p>
      <w:pPr>
        <w:pStyle w:val="Heading2"/>
        <w:pBdr>
          <w:top w:val="single" w:sz="18" w:space="6" w:color="FF8A3D"/>
        </w:pBdr>
        <w:spacing w:before="320"/>
      </w:pPr>
      <w:r>
        <w:rPr/>
        <w:t>Open-source and third-party components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06"/>
        <w:gridCol w:w="1436"/>
        <w:gridCol w:w="3407"/>
        <w:gridCol w:w="2242"/>
      </w:tblGrid>
      <w:tr>
        <w:trPr>
          <w:tblHeader/>
          <w:cantSplit/>
        </w:trPr>
        <w:tc>
          <w:tcPr>
            <w:tcW w:type="dxa" w:w="270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4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IT APPEARS</w:t>
            </w:r>
          </w:p>
        </w:tc>
        <w:tc>
          <w:tcPr>
            <w:tcW w:type="dxa" w:w="34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LICENCE</w:t>
            </w:r>
          </w:p>
        </w:tc>
        <w:tc>
          <w:tcPr>
            <w:tcW w:type="dxa" w:w="2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2706"/>
            <w:tcMar>
              <w:top w:w="50" w:type="dxa"/>
              <w:left w:w="0" w:type="dxa"/>
              <w:bottom w:w="60" w:type="dxa"/>
              <w:right w:w="90" w:type="dxa"/>
            </w:tcMar>
          </w:tcPr>
          <w:p>
            <w:pPr>
              <w:spacing w:before="0" w:after="0" w:line="252" w:lineRule="auto"/>
            </w:pPr>
            <w:r>
              <w:rPr>
                <w:rFonts w:ascii="Calibri" w:hAnsi="Calibri"/>
                <w:sz w:val="19"/>
              </w:rPr>
              <w:t>Fraunces (variable font, regular and italic)</w:t>
            </w:r>
          </w:p>
        </w:tc>
        <w:tc>
          <w:tcPr>
            <w:tcW w:type="dxa" w:w="1436"/>
            <w:tcMar>
              <w:top w:w="50" w:type="dxa"/>
              <w:left w:w="90" w:type="dxa"/>
              <w:bottom w:w="60" w:type="dxa"/>
              <w:right w:w="90" w:type="dxa"/>
            </w:tcMar>
          </w:tcPr>
          <w:p>
            <w:pPr>
              <w:spacing w:before="0" w:after="0" w:line="252" w:lineRule="auto"/>
            </w:pPr>
            <w:r>
              <w:rPr>
                <w:rFonts w:ascii="Calibri" w:hAnsi="Calibri"/>
                <w:sz w:val="19"/>
              </w:rPr>
              <w:t>Reader, Lab, printed design</w:t>
            </w:r>
          </w:p>
        </w:tc>
        <w:tc>
          <w:tcPr>
            <w:tcW w:type="dxa" w:w="3407"/>
            <w:tcMar>
              <w:top w:w="50" w:type="dxa"/>
              <w:left w:w="90" w:type="dxa"/>
              <w:bottom w:w="60" w:type="dxa"/>
              <w:right w:w="90" w:type="dxa"/>
            </w:tcMar>
          </w:tcPr>
          <w:p>
            <w:pPr>
              <w:spacing w:before="0" w:after="0" w:line="252" w:lineRule="auto"/>
            </w:pPr>
            <w:r>
              <w:rPr>
                <w:rFonts w:ascii="Calibri" w:hAnsi="Calibri"/>
                <w:sz w:val="19"/>
              </w:rPr>
              <w:t>SIL OFL 1.1, Copyright 2018 The Fraunces Project Authors</w:t>
            </w:r>
          </w:p>
        </w:tc>
        <w:tc>
          <w:tcPr>
            <w:tcW w:type="dxa" w:w="2242"/>
            <w:tcMar>
              <w:top w:w="50" w:type="dxa"/>
              <w:left w:w="90" w:type="dxa"/>
              <w:bottom w:w="60" w:type="dxa"/>
              <w:right w:w="90" w:type="dxa"/>
            </w:tcMar>
          </w:tcPr>
          <w:p>
            <w:pPr>
              <w:spacing w:before="0" w:after="0" w:line="252" w:lineRule="auto"/>
            </w:pPr>
            <w:r>
              <w:rPr>
                <w:rFonts w:ascii="Calibri" w:hAnsi="Calibri"/>
                <w:sz w:val="19"/>
              </w:rPr>
              <w:t>Unmodified font files with notice kept</w:t>
            </w:r>
          </w:p>
        </w:tc>
      </w:tr>
      <w:tr>
        <w:trPr>
          <w:cantSplit/>
        </w:trPr>
        <w:tc>
          <w:tcPr>
            <w:tcW w:type="dxa" w:w="2706"/>
            <w:tcMar>
              <w:top w:w="50" w:type="dxa"/>
              <w:left w:w="0" w:type="dxa"/>
              <w:bottom w:w="60" w:type="dxa"/>
              <w:right w:w="90" w:type="dxa"/>
            </w:tcMar>
          </w:tcPr>
          <w:p>
            <w:pPr>
              <w:spacing w:before="0" w:after="0" w:line="252" w:lineRule="auto"/>
            </w:pPr>
            <w:r>
              <w:rPr>
                <w:rFonts w:ascii="Calibri" w:hAnsi="Calibri"/>
                <w:sz w:val="19"/>
              </w:rPr>
              <w:t>Source Serif 4 (variable, regular and italic)</w:t>
            </w:r>
          </w:p>
        </w:tc>
        <w:tc>
          <w:tcPr>
            <w:tcW w:type="dxa" w:w="1436"/>
            <w:tcMar>
              <w:top w:w="50" w:type="dxa"/>
              <w:left w:w="90" w:type="dxa"/>
              <w:bottom w:w="60" w:type="dxa"/>
              <w:right w:w="90" w:type="dxa"/>
            </w:tcMar>
          </w:tcPr>
          <w:p>
            <w:pPr>
              <w:spacing w:before="0" w:after="0" w:line="252" w:lineRule="auto"/>
            </w:pPr>
            <w:r>
              <w:rPr>
                <w:rFonts w:ascii="Calibri" w:hAnsi="Calibri"/>
                <w:sz w:val="19"/>
              </w:rPr>
              <w:t>Reader, Lab</w:t>
            </w:r>
          </w:p>
        </w:tc>
        <w:tc>
          <w:tcPr>
            <w:tcW w:type="dxa" w:w="3407"/>
            <w:tcMar>
              <w:top w:w="50" w:type="dxa"/>
              <w:left w:w="90" w:type="dxa"/>
              <w:bottom w:w="60" w:type="dxa"/>
              <w:right w:w="90" w:type="dxa"/>
            </w:tcMar>
          </w:tcPr>
          <w:p>
            <w:pPr>
              <w:spacing w:before="0" w:after="0" w:line="252" w:lineRule="auto"/>
            </w:pPr>
            <w:r>
              <w:rPr>
                <w:rFonts w:ascii="Calibri" w:hAnsi="Calibri"/>
                <w:sz w:val="19"/>
              </w:rPr>
              <w:t>SIL OFL 1.1, Copyright 2014 The Source Serif 4 Project Authors</w:t>
            </w:r>
          </w:p>
        </w:tc>
        <w:tc>
          <w:tcPr>
            <w:tcW w:type="dxa" w:w="2242"/>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2706"/>
            <w:tcMar>
              <w:top w:w="50" w:type="dxa"/>
              <w:left w:w="0" w:type="dxa"/>
              <w:bottom w:w="60" w:type="dxa"/>
              <w:right w:w="90" w:type="dxa"/>
            </w:tcMar>
          </w:tcPr>
          <w:p>
            <w:pPr>
              <w:spacing w:before="0" w:after="0" w:line="252" w:lineRule="auto"/>
            </w:pPr>
            <w:r>
              <w:rPr>
                <w:rFonts w:ascii="Calibri" w:hAnsi="Calibri"/>
                <w:sz w:val="19"/>
              </w:rPr>
              <w:t>Caveat (variable)</w:t>
            </w:r>
          </w:p>
        </w:tc>
        <w:tc>
          <w:tcPr>
            <w:tcW w:type="dxa" w:w="1436"/>
            <w:tcMar>
              <w:top w:w="50" w:type="dxa"/>
              <w:left w:w="90" w:type="dxa"/>
              <w:bottom w:w="60" w:type="dxa"/>
              <w:right w:w="90" w:type="dxa"/>
            </w:tcMar>
          </w:tcPr>
          <w:p>
            <w:pPr>
              <w:spacing w:before="0" w:after="0" w:line="252" w:lineRule="auto"/>
            </w:pPr>
            <w:r>
              <w:rPr>
                <w:rFonts w:ascii="Calibri" w:hAnsi="Calibri"/>
                <w:sz w:val="19"/>
              </w:rPr>
              <w:t>Reader, Lab</w:t>
            </w:r>
          </w:p>
        </w:tc>
        <w:tc>
          <w:tcPr>
            <w:tcW w:type="dxa" w:w="3407"/>
            <w:tcMar>
              <w:top w:w="50" w:type="dxa"/>
              <w:left w:w="90" w:type="dxa"/>
              <w:bottom w:w="60" w:type="dxa"/>
              <w:right w:w="90" w:type="dxa"/>
            </w:tcMar>
          </w:tcPr>
          <w:p>
            <w:pPr>
              <w:spacing w:before="0" w:after="0" w:line="252" w:lineRule="auto"/>
            </w:pPr>
            <w:r>
              <w:rPr>
                <w:rFonts w:ascii="Calibri" w:hAnsi="Calibri"/>
                <w:sz w:val="19"/>
              </w:rPr>
              <w:t>SIL OFL 1.1, Copyright 2014 The Caveat Project Authors</w:t>
            </w:r>
          </w:p>
        </w:tc>
        <w:tc>
          <w:tcPr>
            <w:tcW w:type="dxa" w:w="2242"/>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2706"/>
            <w:tcMar>
              <w:top w:w="50" w:type="dxa"/>
              <w:left w:w="0" w:type="dxa"/>
              <w:bottom w:w="60" w:type="dxa"/>
              <w:right w:w="90" w:type="dxa"/>
            </w:tcMar>
          </w:tcPr>
          <w:p>
            <w:pPr>
              <w:spacing w:before="0" w:after="0" w:line="252" w:lineRule="auto"/>
            </w:pPr>
            <w:r>
              <w:rPr>
                <w:rFonts w:ascii="Calibri" w:hAnsi="Calibri"/>
                <w:sz w:val="19"/>
              </w:rPr>
              <w:t>Special Elite (regular)</w:t>
            </w:r>
          </w:p>
        </w:tc>
        <w:tc>
          <w:tcPr>
            <w:tcW w:type="dxa" w:w="1436"/>
            <w:tcMar>
              <w:top w:w="50" w:type="dxa"/>
              <w:left w:w="90" w:type="dxa"/>
              <w:bottom w:w="60" w:type="dxa"/>
              <w:right w:w="90" w:type="dxa"/>
            </w:tcMar>
          </w:tcPr>
          <w:p>
            <w:pPr>
              <w:spacing w:before="0" w:after="0" w:line="252" w:lineRule="auto"/>
            </w:pPr>
            <w:r>
              <w:rPr>
                <w:rFonts w:ascii="Calibri" w:hAnsi="Calibri"/>
                <w:sz w:val="19"/>
              </w:rPr>
              <w:t>Reader</w:t>
            </w:r>
          </w:p>
        </w:tc>
        <w:tc>
          <w:tcPr>
            <w:tcW w:type="dxa" w:w="3407"/>
            <w:tcMar>
              <w:top w:w="50" w:type="dxa"/>
              <w:left w:w="90" w:type="dxa"/>
              <w:bottom w:w="60" w:type="dxa"/>
              <w:right w:w="90" w:type="dxa"/>
            </w:tcMar>
          </w:tcPr>
          <w:p>
            <w:pPr>
              <w:spacing w:before="0" w:after="0" w:line="252" w:lineRule="auto"/>
            </w:pPr>
            <w:r>
              <w:rPr>
                <w:rFonts w:ascii="Calibri" w:hAnsi="Calibri"/>
                <w:sz w:val="19"/>
              </w:rPr>
              <w:t>Apache License 2.0</w:t>
            </w:r>
          </w:p>
        </w:tc>
        <w:tc>
          <w:tcPr>
            <w:tcW w:type="dxa" w:w="2242"/>
            <w:tcMar>
              <w:top w:w="50" w:type="dxa"/>
              <w:left w:w="90" w:type="dxa"/>
              <w:bottom w:w="60" w:type="dxa"/>
              <w:right w:w="90" w:type="dxa"/>
            </w:tcMar>
          </w:tcPr>
          <w:p>
            <w:pPr>
              <w:spacing w:before="0" w:after="0" w:line="252" w:lineRule="auto"/>
            </w:pPr>
            <w:r>
              <w:rPr>
                <w:rFonts w:ascii="Calibri" w:hAnsi="Calibri"/>
                <w:sz w:val="19"/>
              </w:rPr>
              <w:t>Licence text in Appendix. Keep the notice</w:t>
            </w:r>
          </w:p>
        </w:tc>
      </w:tr>
      <w:tr>
        <w:trPr>
          <w:cantSplit/>
        </w:trPr>
        <w:tc>
          <w:tcPr>
            <w:tcW w:type="dxa" w:w="2706"/>
            <w:tcMar>
              <w:top w:w="50" w:type="dxa"/>
              <w:left w:w="0" w:type="dxa"/>
              <w:bottom w:w="60" w:type="dxa"/>
              <w:right w:w="90" w:type="dxa"/>
            </w:tcMar>
          </w:tcPr>
          <w:p>
            <w:pPr>
              <w:spacing w:before="0" w:after="0" w:line="252" w:lineRule="auto"/>
            </w:pPr>
            <w:r>
              <w:rPr>
                <w:rFonts w:ascii="Calibri" w:hAnsi="Calibri"/>
                <w:sz w:val="19"/>
              </w:rPr>
              <w:t>Kit-authored scripts (Reader, Lab, Slides, site)</w:t>
            </w:r>
          </w:p>
        </w:tc>
        <w:tc>
          <w:tcPr>
            <w:tcW w:type="dxa" w:w="1436"/>
            <w:tcMar>
              <w:top w:w="50" w:type="dxa"/>
              <w:left w:w="90" w:type="dxa"/>
              <w:bottom w:w="60" w:type="dxa"/>
              <w:right w:w="90" w:type="dxa"/>
            </w:tcMar>
          </w:tcPr>
          <w:p>
            <w:pPr>
              <w:spacing w:before="0" w:after="0" w:line="252" w:lineRule="auto"/>
            </w:pPr>
            <w:r>
              <w:rPr>
                <w:rFonts w:ascii="Calibri" w:hAnsi="Calibri"/>
                <w:sz w:val="19"/>
              </w:rPr>
              <w:t>Reader, Lab, Slides</w:t>
            </w:r>
          </w:p>
        </w:tc>
        <w:tc>
          <w:tcPr>
            <w:tcW w:type="dxa" w:w="3407"/>
            <w:tcMar>
              <w:top w:w="50" w:type="dxa"/>
              <w:left w:w="90" w:type="dxa"/>
              <w:bottom w:w="60" w:type="dxa"/>
              <w:right w:w="90" w:type="dxa"/>
            </w:tcMar>
          </w:tcPr>
          <w:p>
            <w:pPr>
              <w:spacing w:before="0" w:after="0" w:line="252" w:lineRule="auto"/>
            </w:pPr>
            <w:r>
              <w:rPr>
                <w:rFonts w:ascii="Calibri" w:hAnsi="Calibri"/>
                <w:sz w:val="19"/>
              </w:rPr>
              <w:t>Part of the kit. Scripts are authored by the kit's maintainers. Confirm the licence for code with counsel. [COUNSEL TO CONFIRM]</w:t>
            </w:r>
          </w:p>
        </w:tc>
        <w:tc>
          <w:tcPr>
            <w:tcW w:type="dxa" w:w="2242"/>
            <w:tcMar>
              <w:top w:w="50" w:type="dxa"/>
              <w:left w:w="90" w:type="dxa"/>
              <w:bottom w:w="60" w:type="dxa"/>
              <w:right w:w="90" w:type="dxa"/>
            </w:tcMar>
          </w:tcPr>
          <w:p>
            <w:pPr>
              <w:spacing w:before="0" w:after="0" w:line="252" w:lineRule="auto"/>
            </w:pPr>
            <w:r>
              <w:rPr>
                <w:rFonts w:ascii="Calibri" w:hAnsi="Calibri"/>
                <w:sz w:val="19"/>
              </w:rPr>
              <w:t>No third-party JavaScript libraries are loaded</w:t>
            </w:r>
          </w:p>
        </w:tc>
      </w:tr>
      <w:tr>
        <w:trPr>
          <w:cantSplit/>
        </w:trPr>
        <w:tc>
          <w:tcPr>
            <w:tcW w:type="dxa" w:w="2706"/>
            <w:tcMar>
              <w:top w:w="50" w:type="dxa"/>
              <w:left w:w="0" w:type="dxa"/>
              <w:bottom w:w="60" w:type="dxa"/>
              <w:right w:w="90" w:type="dxa"/>
            </w:tcMar>
          </w:tcPr>
          <w:p>
            <w:pPr>
              <w:spacing w:before="0" w:after="0" w:line="252" w:lineRule="auto"/>
            </w:pPr>
            <w:r>
              <w:rPr>
                <w:rFonts w:ascii="Calibri" w:hAnsi="Calibri"/>
                <w:sz w:val="19"/>
              </w:rPr>
              <w:t>Python libraries used to build the kit (reportlab, python-docx, python-pptx, openpyxl)</w:t>
            </w:r>
          </w:p>
        </w:tc>
        <w:tc>
          <w:tcPr>
            <w:tcW w:type="dxa" w:w="1436"/>
            <w:tcMar>
              <w:top w:w="50" w:type="dxa"/>
              <w:left w:w="90" w:type="dxa"/>
              <w:bottom w:w="60" w:type="dxa"/>
              <w:right w:w="90" w:type="dxa"/>
            </w:tcMar>
          </w:tcPr>
          <w:p>
            <w:pPr>
              <w:spacing w:before="0" w:after="0" w:line="252" w:lineRule="auto"/>
            </w:pPr>
            <w:r>
              <w:rPr>
                <w:rFonts w:ascii="Calibri" w:hAnsi="Calibri"/>
                <w:sz w:val="19"/>
              </w:rPr>
              <w:t>Build tools only, not shipped</w:t>
            </w:r>
          </w:p>
        </w:tc>
        <w:tc>
          <w:tcPr>
            <w:tcW w:type="dxa" w:w="3407"/>
            <w:tcMar>
              <w:top w:w="50" w:type="dxa"/>
              <w:left w:w="90" w:type="dxa"/>
              <w:bottom w:w="60" w:type="dxa"/>
              <w:right w:w="90" w:type="dxa"/>
            </w:tcMar>
          </w:tcPr>
          <w:p>
            <w:pPr>
              <w:spacing w:before="0" w:after="0" w:line="252" w:lineRule="auto"/>
            </w:pPr>
            <w:r>
              <w:rPr>
                <w:rFonts w:ascii="Calibri" w:hAnsi="Calibri"/>
                <w:sz w:val="19"/>
              </w:rPr>
              <w:t>Their own licences</w:t>
            </w:r>
          </w:p>
        </w:tc>
        <w:tc>
          <w:tcPr>
            <w:tcW w:type="dxa" w:w="2242"/>
            <w:tcMar>
              <w:top w:w="50" w:type="dxa"/>
              <w:left w:w="90" w:type="dxa"/>
              <w:bottom w:w="60" w:type="dxa"/>
              <w:right w:w="90" w:type="dxa"/>
            </w:tcMar>
          </w:tcPr>
          <w:p>
            <w:pPr>
              <w:spacing w:before="0" w:after="0" w:line="252" w:lineRule="auto"/>
            </w:pPr>
            <w:r>
              <w:rPr>
                <w:rFonts w:ascii="Calibri" w:hAnsi="Calibri"/>
                <w:sz w:val="19"/>
              </w:rPr>
              <w:t>Not distributed to schools. [VERIFY if you redistribute the tools]</w:t>
            </w:r>
          </w:p>
        </w:tc>
      </w:tr>
    </w:tbl>
    <w:p>
      <w:pPr>
        <w:spacing w:before="0" w:after="0" w:line="160" w:lineRule="exact"/>
      </w:pPr>
      <w:r>
        <w:rPr>
          <w:sz w:val="2"/>
        </w:rPr>
      </w:r>
    </w:p>
    <w:p>
      <w:r>
        <w:rPr>
          <w:b/>
        </w:rPr>
        <w:t>Font licence rules in short.</w:t>
      </w:r>
      <w:r>
        <w:rPr/>
        <w:t xml:space="preserve"> Under the OFL you may use, study, copy, embed and redistribute the fonts, and sell them only as part of a larger work, but you may not sell the fonts on their own, and a modified version may not use the original Reserved Font Name. Apache 2.0 allows use, modification and redistribution provided you keep the licence and notices. [VERIFY against the licence texts in the Appendix]</w:t>
      </w:r>
    </w:p>
    <w:p>
      <w:pPr>
        <w:pStyle w:val="Heading2"/>
        <w:pBdr>
          <w:top w:val="single" w:sz="18" w:space="6" w:color="FF8A3D"/>
        </w:pBdr>
        <w:spacing w:before="320"/>
      </w:pPr>
      <w:r>
        <w:rPr/>
        <w:t>Marking your copies</w:t>
      </w:r>
    </w:p>
    <w:p>
      <w:r>
        <w:rPr/>
        <w:t>When you adapt or reprint, put this near the front: "Adapted from Hackles (quillsup.org), © 2026 Competence Collective, CC BY-NC 4.0 (https://creativecommons.org/licenses/by-nc/4.0/). Changes were made by [your school]. This version has not been reviewed or endorsed by the Hackles team."</w:t>
      </w:r>
    </w:p>
    <w:p>
      <w:pPr>
        <w:pStyle w:val="Heading2"/>
        <w:pBdr>
          <w:top w:val="single" w:sz="18" w:space="6" w:color="FF8A3D"/>
        </w:pBdr>
        <w:spacing w:before="320"/>
      </w:pPr>
      <w:r>
        <w:rPr/>
        <w:t>What we cannot attest</w:t>
      </w:r>
    </w:p>
    <w:p>
      <w:pPr>
        <w:pStyle w:val="ListBullet"/>
      </w:pPr>
      <w:r>
        <w:rPr/>
        <w:t>Counsel has not reviewed the licence choice, the two-layer wording, or the open ownership-chain item.</w:t>
      </w:r>
    </w:p>
    <w:p>
      <w:pPr>
        <w:pStyle w:val="ListBullet"/>
      </w:pPr>
      <w:r>
        <w:rPr/>
        <w:t>Whether AI-assisted artwork or text is copyrightable, and whether the generators' terms permit open licensing, is unresolved. [COUNSEL TO CONFIRM]</w:t>
      </w:r>
    </w:p>
    <w:p>
      <w:pPr>
        <w:pStyle w:val="ListBullet"/>
      </w:pPr>
      <w:r>
        <w:rPr/>
        <w:t>Whether the publisher will extend written permissions for brand uses. No permission process exists yet.</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LICENCE AND OPEN-SOURCE SUMMARY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Licence and Open-Source Summary</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