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276649" cy="457200"/>
            <wp:docPr id="1" name="Picture 1" descr="Hackles logo"/>
            <wp:cNvGraphicFramePr>
              <a:graphicFrameLocks noChangeAspect="1"/>
            </wp:cNvGraphicFramePr>
            <a:graphic>
              <a:graphicData uri="http://schemas.openxmlformats.org/drawingml/2006/picture">
                <pic:pic>
                  <pic:nvPicPr>
                    <pic:cNvPr id="0" name="Hackles_logo_horizontal.png"/>
                    <pic:cNvPicPr/>
                  </pic:nvPicPr>
                  <pic:blipFill>
                    <a:blip r:embed="rId12"/>
                    <a:stretch>
                      <a:fillRect/>
                    </a:stretch>
                  </pic:blipFill>
                  <pic:spPr>
                    <a:xfrm>
                      <a:off x="0" y="0"/>
                      <a:ext cx="1276649" cy="457200"/>
                    </a:xfrm>
                    <a:prstGeom prst="rect"/>
                  </pic:spPr>
                </pic:pic>
              </a:graphicData>
            </a:graphic>
          </wp:inline>
        </w:drawing>
      </w:r>
    </w:p>
    <w:p>
      <w:pPr>
        <w:pBdr>
          <w:bottom w:val="double" w:sz="6" w:space="4" w:color="2B2D42"/>
        </w:pBdr>
        <w:spacing w:before="0" w:after="120"/>
      </w:pPr>
    </w:p>
    <w:p>
      <w:pPr>
        <w:spacing w:before="120" w:after="40" w:line="240" w:lineRule="auto"/>
      </w:pPr>
      <w:r>
        <w:rPr>
          <w:rFonts w:ascii="Georgia" w:hAnsi="Georgia"/>
          <w:b/>
          <w:color w:val="2B2D42"/>
          <w:sz w:val="56"/>
        </w:rPr>
        <w:t>Board Memo and Consent Agenda Language</w:t>
      </w:r>
    </w:p>
    <w:p>
      <w:pPr>
        <w:spacing w:before="0" w:after="40"/>
      </w:pPr>
      <w:r>
        <w:rPr>
          <w:rFonts w:ascii="Georgia" w:hAnsi="Georgia"/>
          <w:b/>
          <w:i/>
          <w:color w:val="2F6F73"/>
          <w:sz w:val="26"/>
        </w:rPr>
        <w:t>The Hackles Kit</w:t>
      </w:r>
    </w:p>
    <w:p>
      <w:pPr>
        <w:spacing w:before="0" w:after="240"/>
      </w:pPr>
      <w:r>
        <w:rPr>
          <w:rFonts w:ascii="Calibri" w:hAnsi="Calibri"/>
          <w:color w:val="5A5C70"/>
          <w:sz w:val="17"/>
        </w:rPr>
        <w:t>Hackles · a free kit · quillsup.org · October 2026</w:t>
      </w:r>
    </w:p>
    <w:p>
      <w:r>
        <w:rPr>
          <w:i/>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b/>
        </w:rPr>
        <w:t>Status: DRAFT for local review, 2026-10-05. Not legal advice.</w:t>
      </w:r>
      <w:r>
        <w:rPr/>
        <w:t xml:space="preserve"> Hackles has not been reviewed, approved or endorsed by FLDOE or any state agency. It has not been evaluated in a controlled study. Every legal or statistical statement is marked [VERIFY] or [COUNSEL TO CONFIRM]; ask your own counsel before relying on it.</w:t>
      </w:r>
    </w:p>
    <w:p>
      <w:r>
        <w:rPr>
          <w:i/>
        </w:rPr>
        <w:t>Edit the brackets, remove what does not apply, and ask your counsel and board clerk to confirm that the item belongs on a consent agenda. Many boards require a full agenda item for instructional materials or anything touching sensitive topics. [COUNSEL TO CONFIRM]</w:t>
      </w:r>
    </w:p>
    <w:p>
      <w:pPr>
        <w:pStyle w:val="Heading2"/>
        <w:pBdr>
          <w:top w:val="single" w:sz="18" w:space="6" w:color="FF8A3D"/>
        </w:pBdr>
        <w:spacing w:before="320"/>
      </w:pPr>
      <w:r>
        <w:rPr>
          <w:rFonts w:ascii="Courier New" w:hAnsi="Courier New"/>
          <w:b w:val="0"/>
          <w:color w:val="A8400A"/>
          <w:sz w:val="20"/>
        </w:rPr>
        <w:t xml:space="preserve">01  </w:t>
      </w:r>
      <w:r>
        <w:rPr/>
        <w:t>Board memo (full agenda item)</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To:</w:t>
            </w:r>
            <w:r>
              <w:rPr>
                <w:sz w:val="19"/>
              </w:rPr>
              <w:t xml:space="preserve"> [Board of Education / Board of Trustees / Library Board]</w:t>
            </w:r>
          </w:p>
          <w:p>
            <w:pPr>
              <w:spacing w:before="0" w:after="60" w:line="259" w:lineRule="auto"/>
            </w:pPr>
            <w:r>
              <w:rPr>
                <w:b/>
                <w:sz w:val="19"/>
              </w:rPr>
              <w:t>From:</w:t>
            </w:r>
            <w:r>
              <w:rPr>
                <w:sz w:val="19"/>
              </w:rPr>
              <w:t xml:space="preserve"> [Superintendent or designee / Principal / Library Director]</w:t>
            </w:r>
          </w:p>
          <w:p>
            <w:pPr>
              <w:spacing w:before="0" w:after="60" w:line="259" w:lineRule="auto"/>
            </w:pPr>
            <w:r>
              <w:rPr>
                <w:b/>
                <w:sz w:val="19"/>
              </w:rPr>
              <w:t>Date:</w:t>
            </w:r>
            <w:r>
              <w:rPr>
                <w:sz w:val="19"/>
              </w:rPr>
              <w:t xml:space="preserve"> [date]</w:t>
            </w:r>
          </w:p>
          <w:p>
            <w:pPr>
              <w:spacing w:before="0" w:after="60" w:line="259" w:lineRule="auto"/>
            </w:pPr>
            <w:r>
              <w:rPr>
                <w:b/>
                <w:sz w:val="19"/>
              </w:rPr>
              <w:t>Subject:</w:t>
            </w:r>
            <w:r>
              <w:rPr>
                <w:sz w:val="19"/>
              </w:rPr>
              <w:t xml:space="preserve"> Use of Hackles, a free online-safety kit, as supplemental instruction in [grades or program]</w:t>
            </w:r>
          </w:p>
          <w:p>
            <w:pPr>
              <w:spacing w:before="80" w:after="60" w:line="259" w:lineRule="auto"/>
            </w:pPr>
            <w:r>
              <w:rPr>
                <w:b/>
                <w:sz w:val="19"/>
              </w:rPr>
              <w:t>Purpose.</w:t>
            </w:r>
            <w:r>
              <w:rPr>
                <w:sz w:val="19"/>
              </w:rPr>
              <w:t xml:space="preserve"> Staff recommends using Hackles, a free online-safety kit published by the Hackles team (quillsup.org), as a supplemental resource for [online safety / digital citizenship / internet safety] instruction in [grades/program] beginning [date].</w:t>
            </w:r>
          </w:p>
          <w:p>
            <w:pPr>
              <w:spacing w:before="80" w:after="60" w:line="259" w:lineRule="auto"/>
            </w:pPr>
            <w:r>
              <w:rPr>
                <w:b/>
                <w:sz w:val="19"/>
              </w:rPr>
              <w:t>Background.</w:t>
            </w:r>
            <w:r>
              <w:rPr>
                <w:sz w:val="19"/>
              </w:rPr>
              <w:t xml:space="preserve"> [State statute or board policy that applies, with citation. For example: our Internet safety policy under federal E-rate rules requires that minors be educated about appropriate online behavior; state law [citation] addresses instruction on [topic]. COUNSEL TO CONFIRM every citation. VERIFY.] Staff has been looking for ready-to-teach lessons that need no student accounts or devices.</w:t>
            </w:r>
          </w:p>
          <w:p>
            <w:pPr>
              <w:spacing w:before="80" w:after="60" w:line="259" w:lineRule="auto"/>
            </w:pPr>
            <w:r>
              <w:rPr>
                <w:b/>
                <w:sz w:val="19"/>
              </w:rPr>
              <w:t>What Hackles is.</w:t>
            </w:r>
            <w:r>
              <w:rPr>
                <w:sz w:val="19"/>
              </w:rPr>
              <w:t xml:space="preserve"> Ten 15-minute scripted lessons for each of four grade bands (K-2, 3-5, 6-8, 9-12), with teacher guides, student pages, family letters, counselor and disclosure guides, and slides. The habit taught is </w:t>
            </w:r>
            <w:r>
              <w:rPr>
                <w:i/>
                <w:sz w:val="19"/>
              </w:rPr>
              <w:t>Hackles up? Pause. Check. Tell.</w:t>
            </w:r>
            <w:r>
              <w:rPr>
                <w:sz w:val="19"/>
              </w:rPr>
              <w:t xml:space="preserve"> Lessons practice recognizing pressure and scams and telling a trusted adult.</w:t>
            </w:r>
          </w:p>
          <w:p>
            <w:pPr>
              <w:spacing w:before="80" w:after="60" w:line="259" w:lineRule="auto"/>
            </w:pPr>
            <w:r>
              <w:rPr>
                <w:b/>
                <w:sz w:val="19"/>
              </w:rPr>
              <w:t>Cost.</w:t>
            </w:r>
            <w:r>
              <w:rPr>
                <w:sz w:val="19"/>
              </w:rPr>
              <w:t xml:space="preserve"> The kit is free (CC BY-NC 4.0 for text and teaching materials; name, logos and artwork reserved). Local costs: printing [$____], staff time [____ hours], optional family night or Hackles Day [$____]. Funding source: [existing operating budget].</w:t>
            </w:r>
          </w:p>
          <w:p>
            <w:pPr>
              <w:spacing w:before="80" w:after="60" w:line="259" w:lineRule="auto"/>
            </w:pPr>
            <w:r>
              <w:rPr>
                <w:b/>
                <w:sz w:val="19"/>
              </w:rPr>
              <w:t>Student privacy.</w:t>
            </w:r>
            <w:r>
              <w:rPr>
                <w:sz w:val="19"/>
              </w:rPr>
              <w:t xml:space="preserve"> The kit has no student accounts, collects no student data, uses no cookies, analytics or third-party scripts, and is hosted by [us/not hosted]. The publisher never receives student information. Staff reviewed the publisher's Security and Privacy Questionnaire and Data-Flow Statement. [Counsel confirmed on ____.]</w:t>
            </w:r>
          </w:p>
          <w:p>
            <w:pPr>
              <w:spacing w:before="80" w:after="60" w:line="259" w:lineRule="auto"/>
            </w:pPr>
            <w:r>
              <w:rPr>
                <w:b/>
                <w:sz w:val="19"/>
              </w:rPr>
              <w:t>Safeguards.</w:t>
            </w:r>
            <w:r>
              <w:rPr>
                <w:sz w:val="19"/>
              </w:rPr>
              <w:t xml:space="preserve"> Lessons with sensitive content (grooming, sextortion, fake images, body safety, trafficking, mental health) will receive: counselor review, a family notice at least two weeks ahead, an opt-out with an alternate activity, and a counselor on call. Staff will follow [district policy number] and state law on reporting. No staff member will view, copy or forward suspected intimate images of a minor.</w:t>
            </w:r>
          </w:p>
          <w:p>
            <w:pPr>
              <w:spacing w:before="80" w:after="60" w:line="259" w:lineRule="auto"/>
            </w:pPr>
            <w:r>
              <w:rPr>
                <w:b/>
                <w:sz w:val="19"/>
              </w:rPr>
              <w:t>Limits staff wants the Board to know.</w:t>
            </w:r>
            <w:r>
              <w:rPr>
                <w:sz w:val="19"/>
              </w:rPr>
              <w:t xml:space="preserve"> The kit is a pilot-stage resource. It has not been evaluated in a controlled study. It has not been reviewed, approved or endorsed by [state education agency] or any other state agency. The publisher reports that its own counselor, child-safety, attorney, accuracy and inclusion reviews are pending. Staff will [complete our own counselor and counsel review before first use / use only lessons cleared by ____]. The kit does not by itself satisfy our legal obligations on internet-safety instruction; [we will use ____ for components it does not cover].</w:t>
            </w:r>
          </w:p>
          <w:p>
            <w:pPr>
              <w:spacing w:before="80" w:after="60" w:line="259" w:lineRule="auto"/>
            </w:pPr>
            <w:r>
              <w:rPr>
                <w:b/>
                <w:sz w:val="19"/>
              </w:rPr>
              <w:t>Evaluation.</w:t>
            </w:r>
            <w:r>
              <w:rPr>
                <w:sz w:val="19"/>
              </w:rPr>
              <w:t xml:space="preserve"> Staff will track lessons delivered and class-level survey tallies using a spreadsheet with no names or IDs. Results will be reported to the Board [date] with a statement of their limits: self-reported answers, no comparison group, no proof of effect on real-world safety.</w:t>
            </w:r>
          </w:p>
          <w:p>
            <w:pPr>
              <w:spacing w:before="80" w:after="60" w:line="259" w:lineRule="auto"/>
            </w:pPr>
            <w:r>
              <w:rPr>
                <w:b/>
                <w:sz w:val="19"/>
              </w:rPr>
              <w:t>Recommended action.</w:t>
            </w:r>
            <w:r>
              <w:rPr>
                <w:sz w:val="19"/>
              </w:rPr>
              <w:t xml:space="preserve"> Approve use of Hackles as a supplemental resource for [grades/program] for [school year], and direct staff to report on implementation by [date].</w:t>
            </w:r>
          </w:p>
          <w:p>
            <w:pPr>
              <w:spacing w:before="80" w:after="60" w:line="259" w:lineRule="auto"/>
            </w:pPr>
            <w:r>
              <w:rPr>
                <w:b/>
                <w:sz w:val="19"/>
              </w:rPr>
              <w:t>Attachments.</w:t>
            </w:r>
            <w:r>
              <w:rPr>
                <w:sz w:val="19"/>
              </w:rPr>
              <w:t xml:space="preserve"> Start Here for Administrators; Procurement Brief; Security and Privacy Questionnaire; Data-Flow Statement; Accessibility Conformance Statement; Licence Summary; Parent Letter Set.</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02  </w:t>
      </w:r>
      <w:r>
        <w:rPr/>
        <w:t>Consent-agenda line item</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[Item number]. Approval of free supplemental resource: Hackles online-safety kit.</w:t>
            </w:r>
            <w:r>
              <w:rPr>
                <w:sz w:val="19"/>
              </w:rPr>
              <w:t xml:space="preserve"> Approve use of the free Hackles online-safety kit (quillsup.org, CC BY-NC 4.0) as a supplemental resource in [grades/program] for [school year], at no cost to the district other than staff time and printing [not to exceed $____]. The resource collects no student data and requires no accounts. Staff will review sensitive lessons with the counselor and notify families in advance. Attachments on file with the Clerk.</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03  </w:t>
      </w:r>
      <w:r>
        <w:rPr/>
        <w:t>Resolution language (if your board uses resolutions)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WHEREAS</w:t>
            </w:r>
            <w:r>
              <w:rPr>
                <w:sz w:val="19"/>
              </w:rPr>
              <w:t xml:space="preserve"> the Board seeks to provide students with instruction on safe and respectful use of the internet [as required by ____ / consistent with Policy ____]; and</w:t>
            </w:r>
          </w:p>
          <w:p>
            <w:pPr>
              <w:spacing w:before="0" w:after="60" w:line="259" w:lineRule="auto"/>
            </w:pPr>
            <w:r>
              <w:rPr>
                <w:b/>
                <w:sz w:val="19"/>
              </w:rPr>
              <w:t>WHEREAS</w:t>
            </w:r>
            <w:r>
              <w:rPr>
                <w:sz w:val="19"/>
              </w:rPr>
              <w:t xml:space="preserve"> the Hackles kit is offered free of charge, requires no student accounts and collects no student data; and</w:t>
            </w:r>
          </w:p>
          <w:p>
            <w:pPr>
              <w:spacing w:before="0" w:after="60" w:line="259" w:lineRule="auto"/>
            </w:pPr>
            <w:r>
              <w:rPr>
                <w:b/>
                <w:sz w:val="19"/>
              </w:rPr>
              <w:t>WHEREAS</w:t>
            </w:r>
            <w:r>
              <w:rPr>
                <w:sz w:val="19"/>
              </w:rPr>
              <w:t xml:space="preserve"> the Board understands that the kit has not been approved by any state agency and has not been evaluated in a controlled study; and</w:t>
            </w:r>
          </w:p>
          <w:p>
            <w:pPr>
              <w:spacing w:before="0" w:after="60" w:line="259" w:lineRule="auto"/>
            </w:pPr>
            <w:r>
              <w:rPr>
                <w:b/>
                <w:sz w:val="19"/>
              </w:rPr>
              <w:t>WHEREAS</w:t>
            </w:r>
            <w:r>
              <w:rPr>
                <w:sz w:val="19"/>
              </w:rPr>
              <w:t xml:space="preserve"> staff will apply the District's existing policies on parent notice, opt-out, reporting and instructional-materials review;</w:t>
            </w:r>
          </w:p>
          <w:p>
            <w:pPr>
              <w:spacing w:before="0" w:after="60" w:line="259" w:lineRule="auto"/>
            </w:pPr>
            <w:r>
              <w:rPr>
                <w:b/>
                <w:sz w:val="19"/>
              </w:rPr>
              <w:t>NOW, THEREFORE, BE IT RESOLVED</w:t>
            </w:r>
            <w:r>
              <w:rPr>
                <w:sz w:val="19"/>
              </w:rPr>
              <w:t xml:space="preserve"> that the Board authorizes use of Hackles as a supplemental resource in [grades/program], directs the Superintendent to ensure counselor review of sensitive lessons and family notice, and requests a report on implementation by [date].</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04  </w:t>
      </w:r>
      <w:r>
        <w:rPr/>
        <w:t>Florida variation (optional)</w:t>
      </w:r>
    </w:p>
    <w:p>
      <w:r>
        <w:rPr/>
        <w:t>For Florida districts: s. 1003.42(2)(o)5., Florida Statutes, requires instruction for grades 6 to 12 on the effects of social media. [VERIFIED 2026-10-05 in the kit's 20_Florida/District_Adoption_Guide.md; COUNSEL TO CONFIRM] Use the Florida District Adoption Guide's board memo, which also covers the required implementation plan and the website notice. State clearly that Hackles is not approved or endorsed by FLDOE, and that the kit as written does not cover every statutory component, so the district will use [Plus lessons after review / other approved materials] for the gaps.</w:t>
      </w:r>
    </w:p>
    <w:p>
      <w:pPr>
        <w:pStyle w:val="Heading2"/>
        <w:pBdr>
          <w:top w:val="single" w:sz="18" w:space="6" w:color="FF8A3D"/>
        </w:pBdr>
        <w:spacing w:before="320"/>
      </w:pPr>
      <w:r>
        <w:rPr>
          <w:rFonts w:ascii="Courier New" w:hAnsi="Courier New"/>
          <w:b w:val="0"/>
          <w:color w:val="A8400A"/>
          <w:sz w:val="20"/>
        </w:rPr>
        <w:t xml:space="preserve">05  </w:t>
      </w:r>
      <w:r>
        <w:rPr/>
        <w:t>Questions board members may raise (short answers)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032"/>
        <w:gridCol w:w="6760"/>
      </w:tblGrid>
      <w:tr>
        <w:trPr>
          <w:tblHeader/>
          <w:cantSplit/>
        </w:trPr>
        <w:tc>
          <w:tcPr>
            <w:tcW w:type="dxa" w:w="303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QUESTION</w:t>
            </w:r>
          </w:p>
        </w:tc>
        <w:tc>
          <w:tcPr>
            <w:tcW w:type="dxa" w:w="676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SHORT ANSWER</w:t>
            </w:r>
          </w:p>
        </w:tc>
      </w:tr>
      <w:tr>
        <w:trPr>
          <w:cantSplit/>
        </w:trPr>
        <w:tc>
          <w:tcPr>
            <w:tcW w:type="dxa" w:w="3032"/>
            <w:tcMar>
              <w:top w:w="50" w:type="dxa"/>
              <w:left w:w="0" w:type="dxa"/>
              <w:bottom w:w="60" w:type="dxa"/>
              <w:right w:w="90" w:type="dxa"/>
            </w:tcMar>
          </w:tcPr>
          <w:p>
            <w:pPr>
              <w:spacing w:before="0" w:after="0" w:line="252" w:lineRule="auto"/>
            </w:pPr>
            <w:r>
              <w:rPr>
                <w:rFonts w:ascii="Calibri" w:hAnsi="Calibri"/>
                <w:sz w:val="19"/>
              </w:rPr>
              <w:t>Who reviewed it?</w:t>
            </w:r>
          </w:p>
        </w:tc>
        <w:tc>
          <w:tcPr>
            <w:tcW w:type="dxa" w:w="6760"/>
            <w:tcMar>
              <w:top w:w="50" w:type="dxa"/>
              <w:left w:w="90" w:type="dxa"/>
              <w:bottom w:w="60" w:type="dxa"/>
              <w:right w:w="90" w:type="dxa"/>
            </w:tcMar>
          </w:tcPr>
          <w:p>
            <w:pPr>
              <w:spacing w:before="0" w:after="0" w:line="252" w:lineRule="auto"/>
            </w:pPr>
            <w:r>
              <w:rPr>
                <w:rFonts w:ascii="Calibri" w:hAnsi="Calibri"/>
                <w:sz w:val="19"/>
              </w:rPr>
              <w:t>AI-assisted desk review and fact-check. Human counselor, child-safety, attorney, accuracy and inclusion reviews are pending. We are adding our own.</w:t>
            </w:r>
          </w:p>
        </w:tc>
      </w:tr>
      <w:tr>
        <w:trPr>
          <w:cantSplit/>
        </w:trPr>
        <w:tc>
          <w:tcPr>
            <w:tcW w:type="dxa" w:w="3032"/>
            <w:tcMar>
              <w:top w:w="50" w:type="dxa"/>
              <w:left w:w="0" w:type="dxa"/>
              <w:bottom w:w="60" w:type="dxa"/>
              <w:right w:w="90" w:type="dxa"/>
            </w:tcMar>
          </w:tcPr>
          <w:p>
            <w:pPr>
              <w:spacing w:before="0" w:after="0" w:line="252" w:lineRule="auto"/>
            </w:pPr>
            <w:r>
              <w:rPr>
                <w:rFonts w:ascii="Calibri" w:hAnsi="Calibri"/>
                <w:sz w:val="19"/>
              </w:rPr>
              <w:t>Is it approved by the state?</w:t>
            </w:r>
          </w:p>
        </w:tc>
        <w:tc>
          <w:tcPr>
            <w:tcW w:type="dxa" w:w="6760"/>
            <w:tcMar>
              <w:top w:w="50" w:type="dxa"/>
              <w:left w:w="90" w:type="dxa"/>
              <w:bottom w:w="60" w:type="dxa"/>
              <w:right w:w="90" w:type="dxa"/>
            </w:tcMar>
          </w:tcPr>
          <w:p>
            <w:pPr>
              <w:spacing w:before="0" w:after="0" w:line="252" w:lineRule="auto"/>
            </w:pPr>
            <w:r>
              <w:rPr>
                <w:rFonts w:ascii="Calibri" w:hAnsi="Calibri"/>
                <w:sz w:val="19"/>
              </w:rPr>
              <w:t>No. No state agency has reviewed it.</w:t>
            </w:r>
          </w:p>
        </w:tc>
      </w:tr>
      <w:tr>
        <w:trPr>
          <w:cantSplit/>
        </w:trPr>
        <w:tc>
          <w:tcPr>
            <w:tcW w:type="dxa" w:w="3032"/>
            <w:tcMar>
              <w:top w:w="50" w:type="dxa"/>
              <w:left w:w="0" w:type="dxa"/>
              <w:bottom w:w="60" w:type="dxa"/>
              <w:right w:w="90" w:type="dxa"/>
            </w:tcMar>
          </w:tcPr>
          <w:p>
            <w:pPr>
              <w:spacing w:before="0" w:after="0" w:line="252" w:lineRule="auto"/>
            </w:pPr>
            <w:r>
              <w:rPr>
                <w:rFonts w:ascii="Calibri" w:hAnsi="Calibri"/>
                <w:sz w:val="19"/>
              </w:rPr>
              <w:t>Does it teach children how to hack?</w:t>
            </w:r>
          </w:p>
        </w:tc>
        <w:tc>
          <w:tcPr>
            <w:tcW w:type="dxa" w:w="6760"/>
            <w:tcMar>
              <w:top w:w="50" w:type="dxa"/>
              <w:left w:w="90" w:type="dxa"/>
              <w:bottom w:w="60" w:type="dxa"/>
              <w:right w:w="90" w:type="dxa"/>
            </w:tcMar>
          </w:tcPr>
          <w:p>
            <w:pPr>
              <w:spacing w:before="0" w:after="0" w:line="252" w:lineRule="auto"/>
            </w:pPr>
            <w:r>
              <w:rPr>
                <w:rFonts w:ascii="Calibri" w:hAnsi="Calibri"/>
                <w:sz w:val="19"/>
              </w:rPr>
              <w:t>No. It teaches recognition and telling a trusted adult. It does not teach attack techniques.</w:t>
            </w:r>
          </w:p>
        </w:tc>
      </w:tr>
      <w:tr>
        <w:trPr>
          <w:cantSplit/>
        </w:trPr>
        <w:tc>
          <w:tcPr>
            <w:tcW w:type="dxa" w:w="3032"/>
            <w:tcMar>
              <w:top w:w="50" w:type="dxa"/>
              <w:left w:w="0" w:type="dxa"/>
              <w:bottom w:w="60" w:type="dxa"/>
              <w:right w:w="90" w:type="dxa"/>
            </w:tcMar>
          </w:tcPr>
          <w:p>
            <w:pPr>
              <w:spacing w:before="0" w:after="0" w:line="252" w:lineRule="auto"/>
            </w:pPr>
            <w:r>
              <w:rPr>
                <w:rFonts w:ascii="Calibri" w:hAnsi="Calibri"/>
                <w:sz w:val="19"/>
              </w:rPr>
              <w:t>Why are we using a free resource from a company?</w:t>
            </w:r>
          </w:p>
        </w:tc>
        <w:tc>
          <w:tcPr>
            <w:tcW w:type="dxa" w:w="6760"/>
            <w:tcMar>
              <w:top w:w="50" w:type="dxa"/>
              <w:left w:w="90" w:type="dxa"/>
              <w:bottom w:w="60" w:type="dxa"/>
              <w:right w:w="90" w:type="dxa"/>
            </w:tcMar>
          </w:tcPr>
          <w:p>
            <w:pPr>
              <w:spacing w:before="0" w:after="0" w:line="252" w:lineRule="auto"/>
            </w:pPr>
            <w:r>
              <w:rPr>
                <w:rFonts w:ascii="Calibri" w:hAnsi="Calibri"/>
                <w:sz w:val="19"/>
              </w:rPr>
              <w:t>The company also sells adult and college training and says so. The kit has no advertising and no student-facing promotion.</w:t>
            </w:r>
          </w:p>
        </w:tc>
      </w:tr>
      <w:tr>
        <w:trPr>
          <w:cantSplit/>
        </w:trPr>
        <w:tc>
          <w:tcPr>
            <w:tcW w:type="dxa" w:w="3032"/>
            <w:tcMar>
              <w:top w:w="50" w:type="dxa"/>
              <w:left w:w="0" w:type="dxa"/>
              <w:bottom w:w="60" w:type="dxa"/>
              <w:right w:w="90" w:type="dxa"/>
            </w:tcMar>
          </w:tcPr>
          <w:p>
            <w:pPr>
              <w:spacing w:before="0" w:after="0" w:line="252" w:lineRule="auto"/>
            </w:pPr>
            <w:r>
              <w:rPr>
                <w:rFonts w:ascii="Calibri" w:hAnsi="Calibri"/>
                <w:sz w:val="19"/>
              </w:rPr>
              <w:t>What if a parent objects?</w:t>
            </w:r>
          </w:p>
        </w:tc>
        <w:tc>
          <w:tcPr>
            <w:tcW w:type="dxa" w:w="6760"/>
            <w:tcMar>
              <w:top w:w="50" w:type="dxa"/>
              <w:left w:w="90" w:type="dxa"/>
              <w:bottom w:w="60" w:type="dxa"/>
              <w:right w:w="90" w:type="dxa"/>
            </w:tcMar>
          </w:tcPr>
          <w:p>
            <w:pPr>
              <w:spacing w:before="0" w:after="0" w:line="252" w:lineRule="auto"/>
            </w:pPr>
            <w:r>
              <w:rPr>
                <w:rFonts w:ascii="Calibri" w:hAnsi="Calibri"/>
                <w:sz w:val="19"/>
              </w:rPr>
              <w:t>Opt-out with an alternate activity, a preview option, and take-home materials. Rules vary by state and district; our policy governs.</w:t>
            </w:r>
          </w:p>
        </w:tc>
      </w:tr>
      <w:tr>
        <w:trPr>
          <w:cantSplit/>
        </w:trPr>
        <w:tc>
          <w:tcPr>
            <w:tcW w:type="dxa" w:w="3032"/>
            <w:tcMar>
              <w:top w:w="50" w:type="dxa"/>
              <w:left w:w="0" w:type="dxa"/>
              <w:bottom w:w="60" w:type="dxa"/>
              <w:right w:w="90" w:type="dxa"/>
            </w:tcMar>
          </w:tcPr>
          <w:p>
            <w:pPr>
              <w:spacing w:before="0" w:after="0" w:line="252" w:lineRule="auto"/>
            </w:pPr>
            <w:r>
              <w:rPr>
                <w:rFonts w:ascii="Calibri" w:hAnsi="Calibri"/>
                <w:sz w:val="19"/>
              </w:rPr>
              <w:t>What about legal liability?</w:t>
            </w:r>
          </w:p>
        </w:tc>
        <w:tc>
          <w:tcPr>
            <w:tcW w:type="dxa" w:w="6760"/>
            <w:tcMar>
              <w:top w:w="50" w:type="dxa"/>
              <w:left w:w="90" w:type="dxa"/>
              <w:bottom w:w="60" w:type="dxa"/>
              <w:right w:w="90" w:type="dxa"/>
            </w:tcMar>
          </w:tcPr>
          <w:p>
            <w:pPr>
              <w:spacing w:before="0" w:after="0" w:line="252" w:lineRule="auto"/>
            </w:pPr>
            <w:r>
              <w:rPr>
                <w:rFonts w:ascii="Calibri" w:hAnsi="Calibri"/>
                <w:sz w:val="19"/>
              </w:rPr>
              <w:t>The kit has no warranty. Counsel has not reviewed its terms. Staff duties to report stay with staff. [COUNSEL TO CONFIRM]</w:t>
            </w:r>
          </w:p>
        </w:tc>
      </w:tr>
      <w:tr>
        <w:trPr>
          <w:cantSplit/>
        </w:trPr>
        <w:tc>
          <w:tcPr>
            <w:tcW w:type="dxa" w:w="3032"/>
            <w:tcMar>
              <w:top w:w="50" w:type="dxa"/>
              <w:left w:w="0" w:type="dxa"/>
              <w:bottom w:w="60" w:type="dxa"/>
              <w:right w:w="90" w:type="dxa"/>
            </w:tcMar>
          </w:tcPr>
          <w:p>
            <w:pPr>
              <w:spacing w:before="0" w:after="0" w:line="252" w:lineRule="auto"/>
            </w:pPr>
            <w:r>
              <w:rPr>
                <w:rFonts w:ascii="Calibri" w:hAnsi="Calibri"/>
                <w:sz w:val="19"/>
              </w:rPr>
              <w:t>Can we stop?</w:t>
            </w:r>
          </w:p>
        </w:tc>
        <w:tc>
          <w:tcPr>
            <w:tcW w:type="dxa" w:w="6760"/>
            <w:tcMar>
              <w:top w:w="50" w:type="dxa"/>
              <w:left w:w="90" w:type="dxa"/>
              <w:bottom w:w="60" w:type="dxa"/>
              <w:right w:w="90" w:type="dxa"/>
            </w:tcMar>
          </w:tcPr>
          <w:p>
            <w:pPr>
              <w:spacing w:before="0" w:after="0" w:line="252" w:lineRule="auto"/>
            </w:pPr>
            <w:r>
              <w:rPr>
                <w:rFonts w:ascii="Calibri" w:hAnsi="Calibri"/>
                <w:sz w:val="19"/>
              </w:rPr>
              <w:t>Yes, at any time.</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06  </w:t>
      </w:r>
      <w:r>
        <w:rPr/>
        <w:t>Records to keep</w:t>
      </w:r>
    </w:p>
    <w:p>
      <w:pPr>
        <w:pStyle w:val="ListBullet"/>
      </w:pPr>
      <w:r>
        <w:rPr/>
        <w:t>Board action and date</w:t>
      </w:r>
    </w:p>
    <w:p>
      <w:pPr>
        <w:pStyle w:val="ListBullet"/>
      </w:pPr>
      <w:r>
        <w:rPr/>
        <w:t>The approved version of the kit (file names, version and download date, SHA-256 values)</w:t>
      </w:r>
    </w:p>
    <w:p>
      <w:pPr>
        <w:pStyle w:val="ListBullet"/>
      </w:pPr>
      <w:r>
        <w:rPr/>
        <w:t>Counselor and counsel review notes</w:t>
      </w:r>
    </w:p>
    <w:p>
      <w:pPr>
        <w:pStyle w:val="ListBullet"/>
      </w:pPr>
      <w:r>
        <w:rPr/>
        <w:t>Family notice dates and copies</w:t>
      </w:r>
    </w:p>
    <w:p>
      <w:pPr>
        <w:pStyle w:val="ListBullet"/>
      </w:pPr>
      <w:r>
        <w:rPr/>
        <w:t>Lessons delivered by class (counts only), via the tracker</w:t>
      </w:r>
    </w:p>
    <w:p>
      <w:pPr>
        <w:pStyle w:val="ListBullet"/>
      </w:pPr>
      <w:r>
        <w:rPr/>
        <w:t>A one-line note of any change you made to kit text</w:t>
      </w:r>
    </w:p>
    <w:sectPr w:rsidR="00FC693F" w:rsidRPr="0006063C" w:rsidSect="00034616">
      <w:headerReference w:type="default" r:id="rId9"/>
      <w:footerReference w:type="default" r:id="rId10"/>
      <w:footerReference w:type="first" r:id="rId11"/>
      <w:headerReference w:type="first" r:id="rId13"/>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BOARD MEMO AND CONSENT AGENDA LANGUAGE</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Board Memo and Consent Agenda Language</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