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Counselor Coordination Protocol</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Hackles · a free kit · quillsup.org · October 2026</w:t>
      </w:r>
    </w:p>
    <w:p>
      <w:r>
        <w:rPr>
          <w:i/>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Status: DRAFT for local review, 2026-10-05. Not legal advice.</w:t>
      </w:r>
      <w:r>
        <w:rPr/>
        <w:t xml:space="preserve"> Hackles has not been reviewed, approved or endorsed by FLDOE or any state agency. It has not been evaluated in a controlled study. Every legal or statistical statement is marked [VERIFY] or [COUNSEL TO CONFIRM]; ask your own counsel before relying on it.</w:t>
      </w:r>
    </w:p>
    <w:p>
      <w:r>
        <w:rPr>
          <w:i/>
        </w:rPr>
        <w:t>How an administrator, a teacher and a school counselor (or librarian, youth worker or college advisor in other settings) coordinate around Hackles. It builds on the kit's Counselor Heads-Up and Opt-Out Toolkit and the Disclosure and Incident Guide. Fit it to your policy, your state's rules and the roles in your building. [COUNSEL TO CONFIRM]</w:t>
      </w:r>
    </w:p>
    <w:p>
      <w:pPr>
        <w:pStyle w:val="Heading2"/>
        <w:pBdr>
          <w:top w:val="single" w:sz="18" w:space="6" w:color="FF8A3D"/>
        </w:pBdr>
        <w:spacing w:before="320"/>
      </w:pPr>
      <w:r>
        <w:rPr>
          <w:rFonts w:ascii="Courier New" w:hAnsi="Courier New"/>
          <w:b w:val="0"/>
          <w:color w:val="A8400A"/>
          <w:sz w:val="20"/>
        </w:rPr>
        <w:t xml:space="preserve">01  </w:t>
      </w:r>
      <w:r>
        <w:rPr/>
        <w:t>Purpose and principles</w:t>
      </w:r>
    </w:p>
    <w:p>
      <w:pPr>
        <w:pStyle w:val="ListBullet"/>
      </w:pPr>
      <w:r>
        <w:rPr/>
        <w:t>A counselor knows which lessons are coming and is ready for students and teachers afterward.</w:t>
      </w:r>
    </w:p>
    <w:p>
      <w:pPr>
        <w:pStyle w:val="ListBullet"/>
      </w:pPr>
      <w:r>
        <w:rPr/>
        <w:t>Families hear about sensitive lessons first from the school, in plain words, with a real choice.</w:t>
      </w:r>
    </w:p>
    <w:p>
      <w:pPr>
        <w:pStyle w:val="ListBullet"/>
      </w:pPr>
      <w:r>
        <w:rPr/>
        <w:t>A disclosure leads to help for the child and a report as the law requires. It never leads to blame.</w:t>
      </w:r>
    </w:p>
    <w:p>
      <w:pPr>
        <w:pStyle w:val="ListBullet"/>
      </w:pPr>
      <w:r>
        <w:rPr/>
        <w:t>Nobody is penalized for opting out.</w:t>
      </w:r>
    </w:p>
    <w:p>
      <w:pPr>
        <w:pStyle w:val="ListBullet"/>
      </w:pPr>
      <w:r>
        <w:rPr/>
        <w:t>Everyone records counts only. Case notes live in the school's confidential files, not in the tracker.</w:t>
      </w:r>
    </w:p>
    <w:p>
      <w:pPr>
        <w:pStyle w:val="Heading2"/>
        <w:pBdr>
          <w:top w:val="single" w:sz="18" w:space="6" w:color="FF8A3D"/>
        </w:pBdr>
        <w:spacing w:before="320"/>
      </w:pPr>
      <w:r>
        <w:rPr>
          <w:rFonts w:ascii="Courier New" w:hAnsi="Courier New"/>
          <w:b w:val="0"/>
          <w:color w:val="A8400A"/>
          <w:sz w:val="20"/>
        </w:rPr>
        <w:t xml:space="preserve">02  </w:t>
      </w:r>
      <w:r>
        <w:rPr/>
        <w:t>Roles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915"/>
        <w:gridCol w:w="6877"/>
      </w:tblGrid>
      <w:tr>
        <w:trPr>
          <w:tblHeader/>
          <w:cantSplit/>
        </w:trPr>
        <w:tc>
          <w:tcPr>
            <w:tcW w:type="dxa" w:w="291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ROLE</w:t>
            </w:r>
          </w:p>
        </w:tc>
        <w:tc>
          <w:tcPr>
            <w:tcW w:type="dxa" w:w="68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RESPONSIBILITY</w:t>
            </w:r>
          </w:p>
        </w:tc>
      </w:tr>
      <w:tr>
        <w:trPr>
          <w:cantSplit/>
        </w:trPr>
        <w:tc>
          <w:tcPr>
            <w:tcW w:type="dxa" w:w="2915"/>
            <w:tcMar>
              <w:top w:w="50" w:type="dxa"/>
              <w:left w:w="0" w:type="dxa"/>
              <w:bottom w:w="60" w:type="dxa"/>
              <w:right w:w="90" w:type="dxa"/>
            </w:tcMar>
          </w:tcPr>
          <w:p>
            <w:pPr>
              <w:spacing w:before="0" w:after="0" w:line="252" w:lineRule="auto"/>
            </w:pPr>
            <w:r>
              <w:rPr>
                <w:rFonts w:ascii="Calibri" w:hAnsi="Calibri"/>
                <w:sz w:val="19"/>
              </w:rPr>
              <w:t>Administrator</w:t>
            </w:r>
          </w:p>
        </w:tc>
        <w:tc>
          <w:tcPr>
            <w:tcW w:type="dxa" w:w="6877"/>
            <w:tcMar>
              <w:top w:w="50" w:type="dxa"/>
              <w:left w:w="90" w:type="dxa"/>
              <w:bottom w:w="60" w:type="dxa"/>
              <w:right w:w="90" w:type="dxa"/>
            </w:tcMar>
          </w:tcPr>
          <w:p>
            <w:pPr>
              <w:spacing w:before="0" w:after="0" w:line="252" w:lineRule="auto"/>
            </w:pPr>
            <w:r>
              <w:rPr>
                <w:rFonts w:ascii="Calibri" w:hAnsi="Calibri"/>
                <w:sz w:val="19"/>
              </w:rPr>
              <w:t>Approves schedule and letters. Confirms reporting routes. Designates who secures devices. Gives the counselor time. Reports counts to the board</w:t>
            </w:r>
          </w:p>
        </w:tc>
      </w:tr>
      <w:tr>
        <w:trPr>
          <w:cantSplit/>
        </w:trPr>
        <w:tc>
          <w:tcPr>
            <w:tcW w:type="dxa" w:w="2915"/>
            <w:tcMar>
              <w:top w:w="50" w:type="dxa"/>
              <w:left w:w="0" w:type="dxa"/>
              <w:bottom w:w="60" w:type="dxa"/>
              <w:right w:w="90" w:type="dxa"/>
            </w:tcMar>
          </w:tcPr>
          <w:p>
            <w:pPr>
              <w:spacing w:before="0" w:after="0" w:line="252" w:lineRule="auto"/>
            </w:pPr>
            <w:r>
              <w:rPr>
                <w:rFonts w:ascii="Calibri" w:hAnsi="Calibri"/>
                <w:sz w:val="19"/>
              </w:rPr>
              <w:t>Hackles lead (teacher, librarian or counselor)</w:t>
            </w:r>
          </w:p>
        </w:tc>
        <w:tc>
          <w:tcPr>
            <w:tcW w:type="dxa" w:w="6877"/>
            <w:tcMar>
              <w:top w:w="50" w:type="dxa"/>
              <w:left w:w="90" w:type="dxa"/>
              <w:bottom w:w="60" w:type="dxa"/>
              <w:right w:w="90" w:type="dxa"/>
            </w:tcMar>
          </w:tcPr>
          <w:p>
            <w:pPr>
              <w:spacing w:before="0" w:after="0" w:line="252" w:lineRule="auto"/>
            </w:pPr>
            <w:r>
              <w:rPr>
                <w:rFonts w:ascii="Calibri" w:hAnsi="Calibri"/>
                <w:sz w:val="19"/>
              </w:rPr>
              <w:t>Keeps the calendar. Sends reminders. Collects counts. Fixes errors</w:t>
            </w:r>
          </w:p>
        </w:tc>
      </w:tr>
      <w:tr>
        <w:trPr>
          <w:cantSplit/>
        </w:trPr>
        <w:tc>
          <w:tcPr>
            <w:tcW w:type="dxa" w:w="2915"/>
            <w:tcMar>
              <w:top w:w="50" w:type="dxa"/>
              <w:left w:w="0" w:type="dxa"/>
              <w:bottom w:w="60" w:type="dxa"/>
              <w:right w:w="90" w:type="dxa"/>
            </w:tcMar>
          </w:tcPr>
          <w:p>
            <w:pPr>
              <w:spacing w:before="0" w:after="0" w:line="252" w:lineRule="auto"/>
            </w:pPr>
            <w:r>
              <w:rPr>
                <w:rFonts w:ascii="Calibri" w:hAnsi="Calibri"/>
                <w:sz w:val="19"/>
              </w:rPr>
              <w:t>Counselor</w:t>
            </w:r>
          </w:p>
        </w:tc>
        <w:tc>
          <w:tcPr>
            <w:tcW w:type="dxa" w:w="6877"/>
            <w:tcMar>
              <w:top w:w="50" w:type="dxa"/>
              <w:left w:w="90" w:type="dxa"/>
              <w:bottom w:w="60" w:type="dxa"/>
              <w:right w:w="90" w:type="dxa"/>
            </w:tcMar>
          </w:tcPr>
          <w:p>
            <w:pPr>
              <w:spacing w:before="0" w:after="0" w:line="252" w:lineRule="auto"/>
            </w:pPr>
            <w:r>
              <w:rPr>
                <w:rFonts w:ascii="Calibri" w:hAnsi="Calibri"/>
                <w:sz w:val="19"/>
              </w:rPr>
              <w:t>Reviews sensitive lessons. Is on call on lesson days. Meets students who ask or need it. Leads the alternate activity. Debriefs teachers</w:t>
            </w:r>
          </w:p>
        </w:tc>
      </w:tr>
      <w:tr>
        <w:trPr>
          <w:cantSplit/>
        </w:trPr>
        <w:tc>
          <w:tcPr>
            <w:tcW w:type="dxa" w:w="2915"/>
            <w:tcMar>
              <w:top w:w="50" w:type="dxa"/>
              <w:left w:w="0" w:type="dxa"/>
              <w:bottom w:w="60" w:type="dxa"/>
              <w:right w:w="90" w:type="dxa"/>
            </w:tcMar>
          </w:tcPr>
          <w:p>
            <w:pPr>
              <w:spacing w:before="0" w:after="0" w:line="252" w:lineRule="auto"/>
            </w:pPr>
            <w:r>
              <w:rPr>
                <w:rFonts w:ascii="Calibri" w:hAnsi="Calibri"/>
                <w:sz w:val="19"/>
              </w:rPr>
              <w:t>Teacher</w:t>
            </w:r>
          </w:p>
        </w:tc>
        <w:tc>
          <w:tcPr>
            <w:tcW w:type="dxa" w:w="6877"/>
            <w:tcMar>
              <w:top w:w="50" w:type="dxa"/>
              <w:left w:w="90" w:type="dxa"/>
              <w:bottom w:w="60" w:type="dxa"/>
              <w:right w:w="90" w:type="dxa"/>
            </w:tcMar>
          </w:tcPr>
          <w:p>
            <w:pPr>
              <w:spacing w:before="0" w:after="0" w:line="252" w:lineRule="auto"/>
            </w:pPr>
            <w:r>
              <w:rPr>
                <w:rFonts w:ascii="Calibri" w:hAnsi="Calibri"/>
                <w:sz w:val="19"/>
              </w:rPr>
              <w:t>Teaches. Gives the heads-up. Sends family notices. Follows the disclosure steps. Records counts</w:t>
            </w:r>
          </w:p>
        </w:tc>
      </w:tr>
      <w:tr>
        <w:trPr>
          <w:cantSplit/>
        </w:trPr>
        <w:tc>
          <w:tcPr>
            <w:tcW w:type="dxa" w:w="2915"/>
            <w:tcMar>
              <w:top w:w="50" w:type="dxa"/>
              <w:left w:w="0" w:type="dxa"/>
              <w:bottom w:w="60" w:type="dxa"/>
              <w:right w:w="90" w:type="dxa"/>
            </w:tcMar>
          </w:tcPr>
          <w:p>
            <w:pPr>
              <w:spacing w:before="0" w:after="0" w:line="252" w:lineRule="auto"/>
            </w:pPr>
            <w:r>
              <w:rPr>
                <w:rFonts w:ascii="Calibri" w:hAnsi="Calibri"/>
                <w:sz w:val="19"/>
              </w:rPr>
              <w:t>Library or youth leader (non-school settings)</w:t>
            </w:r>
          </w:p>
        </w:tc>
        <w:tc>
          <w:tcPr>
            <w:tcW w:type="dxa" w:w="6877"/>
            <w:tcMar>
              <w:top w:w="50" w:type="dxa"/>
              <w:left w:w="90" w:type="dxa"/>
              <w:bottom w:w="60" w:type="dxa"/>
              <w:right w:w="90" w:type="dxa"/>
            </w:tcMar>
          </w:tcPr>
          <w:p>
            <w:pPr>
              <w:spacing w:before="0" w:after="0" w:line="252" w:lineRule="auto"/>
            </w:pPr>
            <w:r>
              <w:rPr>
                <w:rFonts w:ascii="Calibri" w:hAnsi="Calibri"/>
                <w:sz w:val="19"/>
              </w:rPr>
              <w:t>Same as teacher. Names the person who plays the counselor role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Which lessons are sensitive</w:t>
      </w:r>
    </w:p>
    <w:p>
      <w:r>
        <w:rPr/>
        <w:t>From the Counselor Toolkit (confirm against your edition and scope).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50"/>
        <w:gridCol w:w="5167"/>
        <w:gridCol w:w="3374"/>
      </w:tblGrid>
      <w:tr>
        <w:trPr>
          <w:tblHeader/>
          <w:cantSplit/>
        </w:trPr>
        <w:tc>
          <w:tcPr>
            <w:tcW w:type="dxa" w:w="125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51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w:t>
            </w:r>
          </w:p>
        </w:tc>
        <w:tc>
          <w:tcPr>
            <w:tcW w:type="dxa" w:w="33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IT IS SENSITIVE</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sz w:val="19"/>
              </w:rPr>
              <w:t>K-2</w:t>
            </w:r>
          </w:p>
        </w:tc>
        <w:tc>
          <w:tcPr>
            <w:tcW w:type="dxa" w:w="5167"/>
            <w:tcMar>
              <w:top w:w="50" w:type="dxa"/>
              <w:left w:w="90" w:type="dxa"/>
              <w:bottom w:w="60" w:type="dxa"/>
              <w:right w:w="90" w:type="dxa"/>
            </w:tcMar>
          </w:tcPr>
          <w:p>
            <w:pPr>
              <w:spacing w:before="0" w:after="0" w:line="252" w:lineRule="auto"/>
            </w:pPr>
            <w:r>
              <w:rPr>
                <w:rFonts w:ascii="Calibri" w:hAnsi="Calibri"/>
                <w:sz w:val="19"/>
              </w:rPr>
              <w:t>6 Online Friends vs. Real Friends</w:t>
            </w:r>
          </w:p>
        </w:tc>
        <w:tc>
          <w:tcPr>
            <w:tcW w:type="dxa" w:w="3374"/>
            <w:tcMar>
              <w:top w:w="50" w:type="dxa"/>
              <w:left w:w="90" w:type="dxa"/>
              <w:bottom w:w="60" w:type="dxa"/>
              <w:right w:w="90" w:type="dxa"/>
            </w:tcMar>
          </w:tcPr>
          <w:p>
            <w:pPr>
              <w:spacing w:before="0" w:after="0" w:line="252" w:lineRule="auto"/>
            </w:pPr>
            <w:r>
              <w:rPr>
                <w:rFonts w:ascii="Calibri" w:hAnsi="Calibri"/>
                <w:sz w:val="19"/>
              </w:rPr>
              <w:t>Secrets and unsafe contact</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sz w:val="19"/>
              </w:rPr>
              <w:t>K-2</w:t>
            </w:r>
          </w:p>
        </w:tc>
        <w:tc>
          <w:tcPr>
            <w:tcW w:type="dxa" w:w="5167"/>
            <w:tcMar>
              <w:top w:w="50" w:type="dxa"/>
              <w:left w:w="90" w:type="dxa"/>
              <w:bottom w:w="60" w:type="dxa"/>
              <w:right w:w="90" w:type="dxa"/>
            </w:tcMar>
          </w:tcPr>
          <w:p>
            <w:pPr>
              <w:spacing w:before="0" w:after="0" w:line="252" w:lineRule="auto"/>
            </w:pPr>
            <w:r>
              <w:rPr>
                <w:rFonts w:ascii="Calibri" w:hAnsi="Calibri"/>
                <w:sz w:val="19"/>
              </w:rPr>
              <w:t>9 My Body Is Mine</w:t>
            </w:r>
          </w:p>
        </w:tc>
        <w:tc>
          <w:tcPr>
            <w:tcW w:type="dxa" w:w="3374"/>
            <w:tcMar>
              <w:top w:w="50" w:type="dxa"/>
              <w:left w:w="90" w:type="dxa"/>
              <w:bottom w:w="60" w:type="dxa"/>
              <w:right w:w="90" w:type="dxa"/>
            </w:tcMar>
          </w:tcPr>
          <w:p>
            <w:pPr>
              <w:spacing w:before="0" w:after="0" w:line="252" w:lineRule="auto"/>
            </w:pPr>
            <w:r>
              <w:rPr>
                <w:rFonts w:ascii="Calibri" w:hAnsi="Calibri"/>
                <w:sz w:val="19"/>
              </w:rPr>
              <w:t>Body safety</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sz w:val="19"/>
              </w:rPr>
              <w:t>3-5</w:t>
            </w:r>
          </w:p>
        </w:tc>
        <w:tc>
          <w:tcPr>
            <w:tcW w:type="dxa" w:w="5167"/>
            <w:tcMar>
              <w:top w:w="50" w:type="dxa"/>
              <w:left w:w="90" w:type="dxa"/>
              <w:bottom w:w="60" w:type="dxa"/>
              <w:right w:w="90" w:type="dxa"/>
            </w:tcMar>
          </w:tcPr>
          <w:p>
            <w:pPr>
              <w:spacing w:before="0" w:after="0" w:line="252" w:lineRule="auto"/>
            </w:pPr>
            <w:r>
              <w:rPr>
                <w:rFonts w:ascii="Calibri" w:hAnsi="Calibri"/>
                <w:sz w:val="19"/>
              </w:rPr>
              <w:t>1 The Help Ladder</w:t>
            </w:r>
          </w:p>
        </w:tc>
        <w:tc>
          <w:tcPr>
            <w:tcW w:type="dxa" w:w="3374"/>
            <w:tcMar>
              <w:top w:w="50" w:type="dxa"/>
              <w:left w:w="90" w:type="dxa"/>
              <w:bottom w:w="60" w:type="dxa"/>
              <w:right w:w="90" w:type="dxa"/>
            </w:tcMar>
          </w:tcPr>
          <w:p>
            <w:pPr>
              <w:spacing w:before="0" w:after="0" w:line="252" w:lineRule="auto"/>
            </w:pPr>
            <w:r>
              <w:rPr>
                <w:rFonts w:ascii="Calibri" w:hAnsi="Calibri"/>
                <w:sz w:val="19"/>
              </w:rPr>
              <w:t>Role-play of telling about worries</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sz w:val="19"/>
              </w:rPr>
              <w:t>3-5</w:t>
            </w:r>
          </w:p>
        </w:tc>
        <w:tc>
          <w:tcPr>
            <w:tcW w:type="dxa" w:w="5167"/>
            <w:tcMar>
              <w:top w:w="50" w:type="dxa"/>
              <w:left w:w="90" w:type="dxa"/>
              <w:bottom w:w="60" w:type="dxa"/>
              <w:right w:w="90" w:type="dxa"/>
            </w:tcMar>
          </w:tcPr>
          <w:p>
            <w:pPr>
              <w:spacing w:before="0" w:after="0" w:line="252" w:lineRule="auto"/>
            </w:pPr>
            <w:r>
              <w:rPr>
                <w:rFonts w:ascii="Calibri" w:hAnsi="Calibri"/>
                <w:sz w:val="19"/>
              </w:rPr>
              <w:t>6 Game Chat Red Flags</w:t>
            </w:r>
          </w:p>
        </w:tc>
        <w:tc>
          <w:tcPr>
            <w:tcW w:type="dxa" w:w="3374"/>
            <w:tcMar>
              <w:top w:w="50" w:type="dxa"/>
              <w:left w:w="90" w:type="dxa"/>
              <w:bottom w:w="60" w:type="dxa"/>
              <w:right w:w="90" w:type="dxa"/>
            </w:tcMar>
          </w:tcPr>
          <w:p>
            <w:pPr>
              <w:spacing w:before="0" w:after="0" w:line="252" w:lineRule="auto"/>
            </w:pPr>
            <w:r>
              <w:rPr>
                <w:rFonts w:ascii="Calibri" w:hAnsi="Calibri"/>
                <w:sz w:val="19"/>
              </w:rPr>
              <w:t>Grooming warning signs, secrecy, pressure</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sz w:val="19"/>
              </w:rPr>
              <w:t>6-8</w:t>
            </w:r>
          </w:p>
        </w:tc>
        <w:tc>
          <w:tcPr>
            <w:tcW w:type="dxa" w:w="5167"/>
            <w:tcMar>
              <w:top w:w="50" w:type="dxa"/>
              <w:left w:w="90" w:type="dxa"/>
              <w:bottom w:w="60" w:type="dxa"/>
              <w:right w:w="90" w:type="dxa"/>
            </w:tcMar>
          </w:tcPr>
          <w:p>
            <w:pPr>
              <w:spacing w:before="0" w:after="0" w:line="252" w:lineRule="auto"/>
            </w:pPr>
            <w:r>
              <w:rPr>
                <w:rFonts w:ascii="Calibri" w:hAnsi="Calibri"/>
                <w:sz w:val="19"/>
              </w:rPr>
              <w:t>1 Help Ladder: Real Practice</w:t>
            </w:r>
          </w:p>
        </w:tc>
        <w:tc>
          <w:tcPr>
            <w:tcW w:type="dxa" w:w="3374"/>
            <w:tcMar>
              <w:top w:w="50" w:type="dxa"/>
              <w:left w:w="90" w:type="dxa"/>
              <w:bottom w:w="60" w:type="dxa"/>
              <w:right w:w="90" w:type="dxa"/>
            </w:tcMar>
          </w:tcPr>
          <w:p>
            <w:pPr>
              <w:spacing w:before="0" w:after="0" w:line="252" w:lineRule="auto"/>
            </w:pPr>
            <w:r>
              <w:rPr>
                <w:rFonts w:ascii="Calibri" w:hAnsi="Calibri"/>
                <w:sz w:val="19"/>
              </w:rPr>
              <w:t>Disclosure rehearsal</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sz w:val="19"/>
              </w:rPr>
              <w:t>6-8</w:t>
            </w:r>
          </w:p>
        </w:tc>
        <w:tc>
          <w:tcPr>
            <w:tcW w:type="dxa" w:w="5167"/>
            <w:tcMar>
              <w:top w:w="50" w:type="dxa"/>
              <w:left w:w="90" w:type="dxa"/>
              <w:bottom w:w="60" w:type="dxa"/>
              <w:right w:w="90" w:type="dxa"/>
            </w:tcMar>
          </w:tcPr>
          <w:p>
            <w:pPr>
              <w:spacing w:before="0" w:after="0" w:line="252" w:lineRule="auto"/>
            </w:pPr>
            <w:r>
              <w:rPr>
                <w:rFonts w:ascii="Calibri" w:hAnsi="Calibri"/>
                <w:sz w:val="19"/>
              </w:rPr>
              <w:t>6 Grooming Patterns; 7 Pressure Online; 8 Fakes That Hurt</w:t>
            </w:r>
          </w:p>
        </w:tc>
        <w:tc>
          <w:tcPr>
            <w:tcW w:type="dxa" w:w="3374"/>
            <w:tcMar>
              <w:top w:w="50" w:type="dxa"/>
              <w:left w:w="90" w:type="dxa"/>
              <w:bottom w:w="60" w:type="dxa"/>
              <w:right w:w="90" w:type="dxa"/>
            </w:tcMar>
          </w:tcPr>
          <w:p>
            <w:pPr>
              <w:spacing w:before="0" w:after="0" w:line="252" w:lineRule="auto"/>
            </w:pPr>
            <w:r>
              <w:rPr>
                <w:rFonts w:ascii="Calibri" w:hAnsi="Calibri"/>
                <w:sz w:val="19"/>
              </w:rPr>
              <w:t>Grooming, sextortion, deepfakes</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sz w:val="19"/>
              </w:rPr>
              <w:t>9-12</w:t>
            </w:r>
          </w:p>
        </w:tc>
        <w:tc>
          <w:tcPr>
            <w:tcW w:type="dxa" w:w="5167"/>
            <w:tcMar>
              <w:top w:w="50" w:type="dxa"/>
              <w:left w:w="90" w:type="dxa"/>
              <w:bottom w:w="60" w:type="dxa"/>
              <w:right w:w="90" w:type="dxa"/>
            </w:tcMar>
          </w:tcPr>
          <w:p>
            <w:pPr>
              <w:spacing w:before="0" w:after="0" w:line="252" w:lineRule="auto"/>
            </w:pPr>
            <w:r>
              <w:rPr>
                <w:rFonts w:ascii="Calibri" w:hAnsi="Calibri"/>
                <w:sz w:val="19"/>
              </w:rPr>
              <w:t>5 Sextortion and Image Abuse; 7 Coercion in Relationships Online; 8 Be the Helper</w:t>
            </w:r>
          </w:p>
        </w:tc>
        <w:tc>
          <w:tcPr>
            <w:tcW w:type="dxa" w:w="3374"/>
            <w:tcMar>
              <w:top w:w="50" w:type="dxa"/>
              <w:left w:w="90" w:type="dxa"/>
              <w:bottom w:w="60" w:type="dxa"/>
              <w:right w:w="90" w:type="dxa"/>
            </w:tcMar>
          </w:tcPr>
          <w:p>
            <w:pPr>
              <w:spacing w:before="0" w:after="0" w:line="252" w:lineRule="auto"/>
            </w:pPr>
            <w:r>
              <w:rPr>
                <w:rFonts w:ascii="Calibri" w:hAnsi="Calibri"/>
                <w:sz w:val="19"/>
              </w:rPr>
              <w:t>Sextortion, control, self-harm</w:t>
            </w:r>
          </w:p>
        </w:tc>
      </w:tr>
      <w:tr>
        <w:trPr>
          <w:cantSplit/>
        </w:trPr>
        <w:tc>
          <w:tcPr>
            <w:tcW w:type="dxa" w:w="1250"/>
            <w:tcMar>
              <w:top w:w="50" w:type="dxa"/>
              <w:left w:w="0" w:type="dxa"/>
              <w:bottom w:w="60" w:type="dxa"/>
              <w:right w:w="90" w:type="dxa"/>
            </w:tcMar>
          </w:tcPr>
          <w:p>
            <w:pPr>
              <w:spacing w:before="0" w:after="0" w:line="252" w:lineRule="auto"/>
            </w:pPr>
            <w:r>
              <w:rPr>
                <w:rFonts w:ascii="Calibri" w:hAnsi="Calibri"/>
                <w:sz w:val="19"/>
              </w:rPr>
              <w:t>6-8 and 9-12</w:t>
            </w:r>
          </w:p>
        </w:tc>
        <w:tc>
          <w:tcPr>
            <w:tcW w:type="dxa" w:w="5167"/>
            <w:tcMar>
              <w:top w:w="50" w:type="dxa"/>
              <w:left w:w="90" w:type="dxa"/>
              <w:bottom w:w="60" w:type="dxa"/>
              <w:right w:w="90" w:type="dxa"/>
            </w:tcMar>
          </w:tcPr>
          <w:p>
            <w:pPr>
              <w:spacing w:before="0" w:after="0" w:line="252" w:lineRule="auto"/>
            </w:pPr>
            <w:r>
              <w:rPr>
                <w:rFonts w:ascii="Calibri" w:hAnsi="Calibri"/>
                <w:sz w:val="19"/>
              </w:rPr>
              <w:t>Plus P1 (trafficking), Plus P2 (mental health)</w:t>
            </w:r>
          </w:p>
        </w:tc>
        <w:tc>
          <w:tcPr>
            <w:tcW w:type="dxa" w:w="3374"/>
            <w:tcMar>
              <w:top w:w="50" w:type="dxa"/>
              <w:left w:w="90" w:type="dxa"/>
              <w:bottom w:w="60" w:type="dxa"/>
              <w:right w:w="90" w:type="dxa"/>
            </w:tcMar>
          </w:tcPr>
          <w:p>
            <w:pPr>
              <w:spacing w:before="0" w:after="0" w:line="252" w:lineRule="auto"/>
            </w:pPr>
            <w:r>
              <w:rPr>
                <w:rFonts w:ascii="Calibri" w:hAnsi="Calibri"/>
                <w:sz w:val="19"/>
              </w:rPr>
              <w:t>Specialist or clinician review required before use</w:t>
            </w:r>
          </w:p>
        </w:tc>
      </w:tr>
    </w:tbl>
    <w:p>
      <w:pPr>
        <w:spacing w:before="0" w:after="0" w:line="160" w:lineRule="exact"/>
      </w:pPr>
      <w:r>
        <w:rPr>
          <w:sz w:val="2"/>
        </w:rPr>
      </w:r>
    </w:p>
    <w:p>
      <w:r>
        <w:rPr/>
        <w:t>Recommended heads-up only: 6-8 Plus P3; 9-12 Plus P3 and P4. Also give a heads-up whenever a known rumor or bullying incident touches the class.</w:t>
      </w:r>
    </w:p>
    <w:p>
      <w:pPr>
        <w:pStyle w:val="Heading2"/>
        <w:pBdr>
          <w:top w:val="single" w:sz="18" w:space="6" w:color="FF8A3D"/>
        </w:pBdr>
        <w:spacing w:before="320"/>
      </w:pPr>
      <w:r>
        <w:rPr>
          <w:rFonts w:ascii="Courier New" w:hAnsi="Courier New"/>
          <w:b w:val="0"/>
          <w:color w:val="A8400A"/>
          <w:sz w:val="20"/>
        </w:rPr>
        <w:t xml:space="preserve">04  </w:t>
      </w:r>
      <w:r>
        <w:rPr/>
        <w:t>Timeline for each sensitive lesson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25"/>
        <w:gridCol w:w="2119"/>
        <w:gridCol w:w="6248"/>
      </w:tblGrid>
      <w:tr>
        <w:trPr>
          <w:tblHeader/>
          <w:cantSplit/>
        </w:trPr>
        <w:tc>
          <w:tcPr>
            <w:tcW w:type="dxa" w:w="14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21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62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425"/>
            <w:tcMar>
              <w:top w:w="50" w:type="dxa"/>
              <w:left w:w="0" w:type="dxa"/>
              <w:bottom w:w="60" w:type="dxa"/>
              <w:right w:w="90" w:type="dxa"/>
            </w:tcMar>
          </w:tcPr>
          <w:p>
            <w:pPr>
              <w:spacing w:before="0" w:after="0" w:line="252" w:lineRule="auto"/>
            </w:pPr>
            <w:r>
              <w:rPr>
                <w:rFonts w:ascii="Calibri" w:hAnsi="Calibri"/>
                <w:sz w:val="19"/>
              </w:rPr>
              <w:t>3 weeks before</w:t>
            </w:r>
          </w:p>
        </w:tc>
        <w:tc>
          <w:tcPr>
            <w:tcW w:type="dxa" w:w="2119"/>
            <w:tcMar>
              <w:top w:w="50" w:type="dxa"/>
              <w:left w:w="90" w:type="dxa"/>
              <w:bottom w:w="60" w:type="dxa"/>
              <w:right w:w="90" w:type="dxa"/>
            </w:tcMar>
          </w:tcPr>
          <w:p>
            <w:pPr>
              <w:spacing w:before="0" w:after="0" w:line="252" w:lineRule="auto"/>
            </w:pPr>
            <w:r>
              <w:rPr>
                <w:rFonts w:ascii="Calibri" w:hAnsi="Calibri"/>
                <w:sz w:val="19"/>
              </w:rPr>
              <w:t>Administrator, counselor</w:t>
            </w:r>
          </w:p>
        </w:tc>
        <w:tc>
          <w:tcPr>
            <w:tcW w:type="dxa" w:w="6248"/>
            <w:tcMar>
              <w:top w:w="50" w:type="dxa"/>
              <w:left w:w="90" w:type="dxa"/>
              <w:bottom w:w="60" w:type="dxa"/>
              <w:right w:w="90" w:type="dxa"/>
            </w:tcMar>
          </w:tcPr>
          <w:p>
            <w:pPr>
              <w:spacing w:before="0" w:after="0" w:line="252" w:lineRule="auto"/>
            </w:pPr>
            <w:r>
              <w:rPr>
                <w:rFonts w:ascii="Calibri" w:hAnsi="Calibri"/>
                <w:sz w:val="19"/>
              </w:rPr>
              <w:t>Confirm which lessons count as sensitive, check notice and opt-out policy, confirm counselor availability</w:t>
            </w:r>
          </w:p>
        </w:tc>
      </w:tr>
      <w:tr>
        <w:trPr>
          <w:cantSplit/>
        </w:trPr>
        <w:tc>
          <w:tcPr>
            <w:tcW w:type="dxa" w:w="1425"/>
            <w:tcMar>
              <w:top w:w="50" w:type="dxa"/>
              <w:left w:w="0" w:type="dxa"/>
              <w:bottom w:w="60" w:type="dxa"/>
              <w:right w:w="90" w:type="dxa"/>
            </w:tcMar>
          </w:tcPr>
          <w:p>
            <w:pPr>
              <w:spacing w:before="0" w:after="0" w:line="252" w:lineRule="auto"/>
            </w:pPr>
            <w:r>
              <w:rPr>
                <w:rFonts w:ascii="Calibri" w:hAnsi="Calibri"/>
                <w:sz w:val="19"/>
              </w:rPr>
              <w:t>3 weeks before</w:t>
            </w:r>
          </w:p>
        </w:tc>
        <w:tc>
          <w:tcPr>
            <w:tcW w:type="dxa" w:w="2119"/>
            <w:tcMar>
              <w:top w:w="50" w:type="dxa"/>
              <w:left w:w="90" w:type="dxa"/>
              <w:bottom w:w="60" w:type="dxa"/>
              <w:right w:w="90" w:type="dxa"/>
            </w:tcMar>
          </w:tcPr>
          <w:p>
            <w:pPr>
              <w:spacing w:before="0" w:after="0" w:line="252" w:lineRule="auto"/>
            </w:pPr>
            <w:r>
              <w:rPr>
                <w:rFonts w:ascii="Calibri" w:hAnsi="Calibri"/>
                <w:sz w:val="19"/>
              </w:rPr>
              <w:t>Counselor</w:t>
            </w:r>
          </w:p>
        </w:tc>
        <w:tc>
          <w:tcPr>
            <w:tcW w:type="dxa" w:w="6248"/>
            <w:tcMar>
              <w:top w:w="50" w:type="dxa"/>
              <w:left w:w="90" w:type="dxa"/>
              <w:bottom w:w="60" w:type="dxa"/>
              <w:right w:w="90" w:type="dxa"/>
            </w:tcMar>
          </w:tcPr>
          <w:p>
            <w:pPr>
              <w:spacing w:before="0" w:after="0" w:line="252" w:lineRule="auto"/>
            </w:pPr>
            <w:r>
              <w:rPr>
                <w:rFonts w:ascii="Calibri" w:hAnsi="Calibri"/>
                <w:sz w:val="19"/>
              </w:rPr>
              <w:t>Review the lesson text</w:t>
            </w:r>
          </w:p>
        </w:tc>
      </w:tr>
      <w:tr>
        <w:trPr>
          <w:cantSplit/>
        </w:trPr>
        <w:tc>
          <w:tcPr>
            <w:tcW w:type="dxa" w:w="1425"/>
            <w:tcMar>
              <w:top w:w="50" w:type="dxa"/>
              <w:left w:w="0" w:type="dxa"/>
              <w:bottom w:w="60" w:type="dxa"/>
              <w:right w:w="90" w:type="dxa"/>
            </w:tcMar>
          </w:tcPr>
          <w:p>
            <w:pPr>
              <w:spacing w:before="0" w:after="0" w:line="252" w:lineRule="auto"/>
            </w:pPr>
            <w:r>
              <w:rPr>
                <w:rFonts w:ascii="Calibri" w:hAnsi="Calibri"/>
                <w:sz w:val="19"/>
              </w:rPr>
              <w:t>2 weeks before</w:t>
            </w:r>
          </w:p>
        </w:tc>
        <w:tc>
          <w:tcPr>
            <w:tcW w:type="dxa" w:w="2119"/>
            <w:tcMar>
              <w:top w:w="50" w:type="dxa"/>
              <w:left w:w="90" w:type="dxa"/>
              <w:bottom w:w="60" w:type="dxa"/>
              <w:right w:w="90" w:type="dxa"/>
            </w:tcMar>
          </w:tcPr>
          <w:p>
            <w:pPr>
              <w:spacing w:before="0" w:after="0" w:line="252" w:lineRule="auto"/>
            </w:pPr>
            <w:r>
              <w:rPr>
                <w:rFonts w:ascii="Calibri" w:hAnsi="Calibri"/>
                <w:sz w:val="19"/>
              </w:rPr>
              <w:t>Teacher</w:t>
            </w:r>
          </w:p>
        </w:tc>
        <w:tc>
          <w:tcPr>
            <w:tcW w:type="dxa" w:w="6248"/>
            <w:tcMar>
              <w:top w:w="50" w:type="dxa"/>
              <w:left w:w="90" w:type="dxa"/>
              <w:bottom w:w="60" w:type="dxa"/>
              <w:right w:w="90" w:type="dxa"/>
            </w:tcMar>
          </w:tcPr>
          <w:p>
            <w:pPr>
              <w:spacing w:before="0" w:after="0" w:line="252" w:lineRule="auto"/>
            </w:pPr>
            <w:r>
              <w:rPr>
                <w:rFonts w:ascii="Calibri" w:hAnsi="Calibri"/>
                <w:sz w:val="19"/>
              </w:rPr>
              <w:t>Send the family pre-notice (Parent Letter Set, Letter 2)</w:t>
            </w:r>
          </w:p>
        </w:tc>
      </w:tr>
      <w:tr>
        <w:trPr>
          <w:cantSplit/>
        </w:trPr>
        <w:tc>
          <w:tcPr>
            <w:tcW w:type="dxa" w:w="1425"/>
            <w:tcMar>
              <w:top w:w="50" w:type="dxa"/>
              <w:left w:w="0" w:type="dxa"/>
              <w:bottom w:w="60" w:type="dxa"/>
              <w:right w:w="90" w:type="dxa"/>
            </w:tcMar>
          </w:tcPr>
          <w:p>
            <w:pPr>
              <w:spacing w:before="0" w:after="0" w:line="252" w:lineRule="auto"/>
            </w:pPr>
            <w:r>
              <w:rPr>
                <w:rFonts w:ascii="Calibri" w:hAnsi="Calibri"/>
                <w:sz w:val="19"/>
              </w:rPr>
              <w:t>1 week before</w:t>
            </w:r>
          </w:p>
        </w:tc>
        <w:tc>
          <w:tcPr>
            <w:tcW w:type="dxa" w:w="2119"/>
            <w:tcMar>
              <w:top w:w="50" w:type="dxa"/>
              <w:left w:w="90" w:type="dxa"/>
              <w:bottom w:w="60" w:type="dxa"/>
              <w:right w:w="90" w:type="dxa"/>
            </w:tcMar>
          </w:tcPr>
          <w:p>
            <w:pPr>
              <w:spacing w:before="0" w:after="0" w:line="252" w:lineRule="auto"/>
            </w:pPr>
            <w:r>
              <w:rPr>
                <w:rFonts w:ascii="Calibri" w:hAnsi="Calibri"/>
                <w:sz w:val="19"/>
              </w:rPr>
              <w:t>Teacher, counselor</w:t>
            </w:r>
          </w:p>
        </w:tc>
        <w:tc>
          <w:tcPr>
            <w:tcW w:type="dxa" w:w="6248"/>
            <w:tcMar>
              <w:top w:w="50" w:type="dxa"/>
              <w:left w:w="90" w:type="dxa"/>
              <w:bottom w:w="60" w:type="dxa"/>
              <w:right w:w="90" w:type="dxa"/>
            </w:tcMar>
          </w:tcPr>
          <w:p>
            <w:pPr>
              <w:spacing w:before="0" w:after="0" w:line="252" w:lineRule="auto"/>
            </w:pPr>
            <w:r>
              <w:rPr>
                <w:rFonts w:ascii="Calibri" w:hAnsi="Calibri"/>
                <w:sz w:val="19"/>
              </w:rPr>
              <w:t>Offer family preview. Collect slips. Arrange alternate activities</w:t>
            </w:r>
          </w:p>
        </w:tc>
      </w:tr>
      <w:tr>
        <w:trPr>
          <w:cantSplit/>
        </w:trPr>
        <w:tc>
          <w:tcPr>
            <w:tcW w:type="dxa" w:w="1425"/>
            <w:tcMar>
              <w:top w:w="50" w:type="dxa"/>
              <w:left w:w="0" w:type="dxa"/>
              <w:bottom w:w="60" w:type="dxa"/>
              <w:right w:w="90" w:type="dxa"/>
            </w:tcMar>
          </w:tcPr>
          <w:p>
            <w:pPr>
              <w:spacing w:before="0" w:after="0" w:line="252" w:lineRule="auto"/>
            </w:pPr>
            <w:r>
              <w:rPr>
                <w:rFonts w:ascii="Calibri" w:hAnsi="Calibri"/>
                <w:sz w:val="19"/>
              </w:rPr>
              <w:t>2 days before</w:t>
            </w:r>
          </w:p>
        </w:tc>
        <w:tc>
          <w:tcPr>
            <w:tcW w:type="dxa" w:w="2119"/>
            <w:tcMar>
              <w:top w:w="50" w:type="dxa"/>
              <w:left w:w="90" w:type="dxa"/>
              <w:bottom w:w="60" w:type="dxa"/>
              <w:right w:w="90" w:type="dxa"/>
            </w:tcMar>
          </w:tcPr>
          <w:p>
            <w:pPr>
              <w:spacing w:before="0" w:after="0" w:line="252" w:lineRule="auto"/>
            </w:pPr>
            <w:r>
              <w:rPr>
                <w:rFonts w:ascii="Calibri" w:hAnsi="Calibri"/>
                <w:sz w:val="19"/>
              </w:rPr>
              <w:t>Teacher</w:t>
            </w:r>
          </w:p>
        </w:tc>
        <w:tc>
          <w:tcPr>
            <w:tcW w:type="dxa" w:w="6248"/>
            <w:tcMar>
              <w:top w:w="50" w:type="dxa"/>
              <w:left w:w="90" w:type="dxa"/>
              <w:bottom w:w="60" w:type="dxa"/>
              <w:right w:w="90" w:type="dxa"/>
            </w:tcMar>
          </w:tcPr>
          <w:p>
            <w:pPr>
              <w:spacing w:before="0" w:after="0" w:line="252" w:lineRule="auto"/>
            </w:pPr>
            <w:r>
              <w:rPr>
                <w:rFonts w:ascii="Calibri" w:hAnsi="Calibri"/>
                <w:sz w:val="19"/>
              </w:rPr>
              <w:t>Send the counselor heads-up message. Confirm coverage and how to reach the counselor during the lesson</w:t>
            </w:r>
          </w:p>
        </w:tc>
      </w:tr>
      <w:tr>
        <w:trPr>
          <w:cantSplit/>
        </w:trPr>
        <w:tc>
          <w:tcPr>
            <w:tcW w:type="dxa" w:w="1425"/>
            <w:tcMar>
              <w:top w:w="50" w:type="dxa"/>
              <w:left w:w="0" w:type="dxa"/>
              <w:bottom w:w="60" w:type="dxa"/>
              <w:right w:w="90" w:type="dxa"/>
            </w:tcMar>
          </w:tcPr>
          <w:p>
            <w:pPr>
              <w:spacing w:before="0" w:after="0" w:line="252" w:lineRule="auto"/>
            </w:pPr>
            <w:r>
              <w:rPr>
                <w:rFonts w:ascii="Calibri" w:hAnsi="Calibri"/>
                <w:sz w:val="19"/>
              </w:rPr>
              <w:t>Day of</w:t>
            </w:r>
          </w:p>
        </w:tc>
        <w:tc>
          <w:tcPr>
            <w:tcW w:type="dxa" w:w="2119"/>
            <w:tcMar>
              <w:top w:w="50" w:type="dxa"/>
              <w:left w:w="90" w:type="dxa"/>
              <w:bottom w:w="60" w:type="dxa"/>
              <w:right w:w="90" w:type="dxa"/>
            </w:tcMar>
          </w:tcPr>
          <w:p>
            <w:pPr>
              <w:spacing w:before="0" w:after="0" w:line="252" w:lineRule="auto"/>
            </w:pPr>
            <w:r>
              <w:rPr>
                <w:rFonts w:ascii="Calibri" w:hAnsi="Calibri"/>
                <w:sz w:val="19"/>
              </w:rPr>
              <w:t>Counselor</w:t>
            </w:r>
          </w:p>
        </w:tc>
        <w:tc>
          <w:tcPr>
            <w:tcW w:type="dxa" w:w="6248"/>
            <w:tcMar>
              <w:top w:w="50" w:type="dxa"/>
              <w:left w:w="90" w:type="dxa"/>
              <w:bottom w:w="60" w:type="dxa"/>
              <w:right w:w="90" w:type="dxa"/>
            </w:tcMar>
          </w:tcPr>
          <w:p>
            <w:pPr>
              <w:spacing w:before="0" w:after="0" w:line="252" w:lineRule="auto"/>
            </w:pPr>
            <w:r>
              <w:rPr>
                <w:rFonts w:ascii="Calibri" w:hAnsi="Calibri"/>
                <w:sz w:val="19"/>
              </w:rPr>
              <w:t>On call. Quiet space ready. Drop-in available</w:t>
            </w:r>
          </w:p>
        </w:tc>
      </w:tr>
      <w:tr>
        <w:trPr>
          <w:cantSplit/>
        </w:trPr>
        <w:tc>
          <w:tcPr>
            <w:tcW w:type="dxa" w:w="1425"/>
            <w:tcMar>
              <w:top w:w="50" w:type="dxa"/>
              <w:left w:w="0" w:type="dxa"/>
              <w:bottom w:w="60" w:type="dxa"/>
              <w:right w:w="90" w:type="dxa"/>
            </w:tcMar>
          </w:tcPr>
          <w:p>
            <w:pPr>
              <w:spacing w:before="0" w:after="0" w:line="252" w:lineRule="auto"/>
            </w:pPr>
            <w:r>
              <w:rPr>
                <w:rFonts w:ascii="Calibri" w:hAnsi="Calibri"/>
                <w:sz w:val="19"/>
              </w:rPr>
              <w:t>Day of</w:t>
            </w:r>
          </w:p>
        </w:tc>
        <w:tc>
          <w:tcPr>
            <w:tcW w:type="dxa" w:w="2119"/>
            <w:tcMar>
              <w:top w:w="50" w:type="dxa"/>
              <w:left w:w="90" w:type="dxa"/>
              <w:bottom w:w="60" w:type="dxa"/>
              <w:right w:w="90" w:type="dxa"/>
            </w:tcMar>
          </w:tcPr>
          <w:p>
            <w:pPr>
              <w:spacing w:before="0" w:after="0" w:line="252" w:lineRule="auto"/>
            </w:pPr>
            <w:r>
              <w:rPr>
                <w:rFonts w:ascii="Calibri" w:hAnsi="Calibri"/>
                <w:sz w:val="19"/>
              </w:rPr>
              <w:t>Teacher</w:t>
            </w:r>
          </w:p>
        </w:tc>
        <w:tc>
          <w:tcPr>
            <w:tcW w:type="dxa" w:w="6248"/>
            <w:tcMar>
              <w:top w:w="50" w:type="dxa"/>
              <w:left w:w="90" w:type="dxa"/>
              <w:bottom w:w="60" w:type="dxa"/>
              <w:right w:w="90" w:type="dxa"/>
            </w:tcMar>
          </w:tcPr>
          <w:p>
            <w:pPr>
              <w:spacing w:before="0" w:after="0" w:line="252" w:lineRule="auto"/>
            </w:pPr>
            <w:r>
              <w:rPr>
                <w:rFonts w:ascii="Calibri" w:hAnsi="Calibri"/>
                <w:sz w:val="19"/>
              </w:rPr>
              <w:t>Calm opening and closing scripts. Offer the "ask the counselor" option</w:t>
            </w:r>
          </w:p>
        </w:tc>
      </w:tr>
      <w:tr>
        <w:trPr>
          <w:cantSplit/>
        </w:trPr>
        <w:tc>
          <w:tcPr>
            <w:tcW w:type="dxa" w:w="1425"/>
            <w:tcMar>
              <w:top w:w="50" w:type="dxa"/>
              <w:left w:w="0" w:type="dxa"/>
              <w:bottom w:w="60" w:type="dxa"/>
              <w:right w:w="90" w:type="dxa"/>
            </w:tcMar>
          </w:tcPr>
          <w:p>
            <w:pPr>
              <w:spacing w:before="0" w:after="0" w:line="252" w:lineRule="auto"/>
            </w:pPr>
            <w:r>
              <w:rPr>
                <w:rFonts w:ascii="Calibri" w:hAnsi="Calibri"/>
                <w:sz w:val="19"/>
              </w:rPr>
              <w:t>24 hours after</w:t>
            </w:r>
          </w:p>
        </w:tc>
        <w:tc>
          <w:tcPr>
            <w:tcW w:type="dxa" w:w="2119"/>
            <w:tcMar>
              <w:top w:w="50" w:type="dxa"/>
              <w:left w:w="90" w:type="dxa"/>
              <w:bottom w:w="60" w:type="dxa"/>
              <w:right w:w="90" w:type="dxa"/>
            </w:tcMar>
          </w:tcPr>
          <w:p>
            <w:pPr>
              <w:spacing w:before="0" w:after="0" w:line="252" w:lineRule="auto"/>
            </w:pPr>
            <w:r>
              <w:rPr>
                <w:rFonts w:ascii="Calibri" w:hAnsi="Calibri"/>
                <w:sz w:val="19"/>
              </w:rPr>
              <w:t>Teacher, counselor</w:t>
            </w:r>
          </w:p>
        </w:tc>
        <w:tc>
          <w:tcPr>
            <w:tcW w:type="dxa" w:w="6248"/>
            <w:tcMar>
              <w:top w:w="50" w:type="dxa"/>
              <w:left w:w="90" w:type="dxa"/>
              <w:bottom w:w="60" w:type="dxa"/>
              <w:right w:w="90" w:type="dxa"/>
            </w:tcMar>
          </w:tcPr>
          <w:p>
            <w:pPr>
              <w:spacing w:before="0" w:after="0" w:line="252" w:lineRule="auto"/>
            </w:pPr>
            <w:r>
              <w:rPr>
                <w:rFonts w:ascii="Calibri" w:hAnsi="Calibri"/>
                <w:sz w:val="19"/>
              </w:rPr>
              <w:t>Debrief. Check in with any upset student. Process any disclosure per the flowchart</w:t>
            </w:r>
          </w:p>
        </w:tc>
      </w:tr>
      <w:tr>
        <w:trPr>
          <w:cantSplit/>
        </w:trPr>
        <w:tc>
          <w:tcPr>
            <w:tcW w:type="dxa" w:w="1425"/>
            <w:tcMar>
              <w:top w:w="50" w:type="dxa"/>
              <w:left w:w="0" w:type="dxa"/>
              <w:bottom w:w="60" w:type="dxa"/>
              <w:right w:w="90" w:type="dxa"/>
            </w:tcMar>
          </w:tcPr>
          <w:p>
            <w:pPr>
              <w:spacing w:before="0" w:after="0" w:line="252" w:lineRule="auto"/>
            </w:pPr>
            <w:r>
              <w:rPr>
                <w:rFonts w:ascii="Calibri" w:hAnsi="Calibri"/>
                <w:sz w:val="19"/>
              </w:rPr>
              <w:t>1 week after</w:t>
            </w:r>
          </w:p>
        </w:tc>
        <w:tc>
          <w:tcPr>
            <w:tcW w:type="dxa" w:w="2119"/>
            <w:tcMar>
              <w:top w:w="50" w:type="dxa"/>
              <w:left w:w="90" w:type="dxa"/>
              <w:bottom w:w="60" w:type="dxa"/>
              <w:right w:w="90" w:type="dxa"/>
            </w:tcMar>
          </w:tcPr>
          <w:p>
            <w:pPr>
              <w:spacing w:before="0" w:after="0" w:line="252" w:lineRule="auto"/>
            </w:pPr>
            <w:r>
              <w:rPr>
                <w:rFonts w:ascii="Calibri" w:hAnsi="Calibri"/>
                <w:sz w:val="19"/>
              </w:rPr>
              <w:t>Teacher</w:t>
            </w:r>
          </w:p>
        </w:tc>
        <w:tc>
          <w:tcPr>
            <w:tcW w:type="dxa" w:w="6248"/>
            <w:tcMar>
              <w:top w:w="50" w:type="dxa"/>
              <w:left w:w="90" w:type="dxa"/>
              <w:bottom w:w="60" w:type="dxa"/>
              <w:right w:w="90" w:type="dxa"/>
            </w:tcMar>
          </w:tcPr>
          <w:p>
            <w:pPr>
              <w:spacing w:before="0" w:after="0" w:line="252" w:lineRule="auto"/>
            </w:pPr>
            <w:r>
              <w:rPr>
                <w:rFonts w:ascii="Calibri" w:hAnsi="Calibri"/>
                <w:sz w:val="19"/>
              </w:rPr>
              <w:t>Take-home card and optional reply slip</w:t>
            </w:r>
          </w:p>
        </w:tc>
      </w:tr>
      <w:tr>
        <w:trPr>
          <w:cantSplit/>
        </w:trPr>
        <w:tc>
          <w:tcPr>
            <w:tcW w:type="dxa" w:w="1425"/>
            <w:tcMar>
              <w:top w:w="50" w:type="dxa"/>
              <w:left w:w="0" w:type="dxa"/>
              <w:bottom w:w="60" w:type="dxa"/>
              <w:right w:w="90" w:type="dxa"/>
            </w:tcMar>
          </w:tcPr>
          <w:p>
            <w:pPr>
              <w:spacing w:before="0" w:after="0" w:line="252" w:lineRule="auto"/>
            </w:pPr>
            <w:r>
              <w:rPr>
                <w:rFonts w:ascii="Calibri" w:hAnsi="Calibri"/>
                <w:sz w:val="19"/>
              </w:rPr>
              <w:t>1 month after</w:t>
            </w:r>
          </w:p>
        </w:tc>
        <w:tc>
          <w:tcPr>
            <w:tcW w:type="dxa" w:w="2119"/>
            <w:tcMar>
              <w:top w:w="50" w:type="dxa"/>
              <w:left w:w="90" w:type="dxa"/>
              <w:bottom w:w="60" w:type="dxa"/>
              <w:right w:w="90" w:type="dxa"/>
            </w:tcMar>
          </w:tcPr>
          <w:p>
            <w:pPr>
              <w:spacing w:before="0" w:after="0" w:line="252" w:lineRule="auto"/>
            </w:pPr>
            <w:r>
              <w:rPr>
                <w:rFonts w:ascii="Calibri" w:hAnsi="Calibri"/>
                <w:sz w:val="19"/>
              </w:rPr>
              <w:t>Counselor</w:t>
            </w:r>
          </w:p>
        </w:tc>
        <w:tc>
          <w:tcPr>
            <w:tcW w:type="dxa" w:w="6248"/>
            <w:tcMar>
              <w:top w:w="50" w:type="dxa"/>
              <w:left w:w="90" w:type="dxa"/>
              <w:bottom w:w="60" w:type="dxa"/>
              <w:right w:w="90" w:type="dxa"/>
            </w:tcMar>
          </w:tcPr>
          <w:p>
            <w:pPr>
              <w:spacing w:before="0" w:after="0" w:line="252" w:lineRule="auto"/>
            </w:pPr>
            <w:r>
              <w:rPr>
                <w:rFonts w:ascii="Calibri" w:hAnsi="Calibri"/>
                <w:sz w:val="19"/>
              </w:rPr>
              <w:t>Re-check on students who needed support. Add counts to the tracker</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05  </w:t>
      </w:r>
      <w:r>
        <w:rPr/>
        <w:t>Heads-up message (teacher to counselor)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Subject:</w:t>
            </w:r>
            <w:r>
              <w:rPr>
                <w:sz w:val="19"/>
              </w:rPr>
              <w:t xml:space="preserve"> Heads-up: sensitive lesson on [date, period]</w:t>
            </w:r>
          </w:p>
          <w:p>
            <w:pPr>
              <w:spacing w:before="80" w:after="60" w:line="259" w:lineRule="auto"/>
            </w:pPr>
            <w:r>
              <w:rPr>
                <w:sz w:val="19"/>
              </w:rPr>
              <w:t>Hello [name], I will teach "[lesson title]" to [class/group] on [date]. It covers [one plain sentence]. It is not graphic. Could you: be available (or arrange backup) from [time] to [time]; tell me the best way to reach you during the lesson; tell me, privately and without sharing details with me, whether any students should have a check-in before or after; and tell me if you would like to co-teach the last five minutes? Family notice goes out on [date]. Opt-out slips so far: [count]. If a student discloses, I will follow the First 10 Minutes steps and bring you in the same day. Thank you. [name]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Opt-outs and alternates</w:t>
      </w:r>
    </w:p>
    <w:p>
      <w:pPr>
        <w:spacing w:before="0" w:after="60"/>
        <w:ind w:left="504" w:hanging="360"/>
      </w:pPr>
      <w:r>
        <w:rPr>
          <w:b/>
          <w:color w:val="2F6F73"/>
        </w:rPr>
        <w:t xml:space="preserve">1. </w:t>
      </w:r>
      <w:r>
        <w:rPr/>
        <w:t>Receive the family's choice in writing. Acknowledge it warmly the same day.</w:t>
      </w:r>
    </w:p>
    <w:p>
      <w:pPr>
        <w:spacing w:before="0" w:after="60"/>
        <w:ind w:left="504" w:hanging="360"/>
      </w:pPr>
      <w:r>
        <w:rPr>
          <w:b/>
          <w:color w:val="2F6F73"/>
        </w:rPr>
        <w:t xml:space="preserve">2. </w:t>
      </w:r>
      <w:r>
        <w:rPr/>
        <w:t>Offer a preview first. Many families choose to take part after seeing the materials.</w:t>
      </w:r>
    </w:p>
    <w:p>
      <w:pPr>
        <w:spacing w:before="0" w:after="60"/>
        <w:ind w:left="504" w:hanging="360"/>
      </w:pPr>
      <w:r>
        <w:rPr>
          <w:b/>
          <w:color w:val="2F6F73"/>
        </w:rPr>
        <w:t xml:space="preserve">3. </w:t>
      </w:r>
      <w:r>
        <w:rPr/>
        <w:t>Offer a respectful alternate that does not label the child: a quiet library or reading task, a general kindness or screen-balance activity from the same strand, a counselor-led small group on trusted adults, or the family-led version with the take-home card.</w:t>
      </w:r>
    </w:p>
    <w:p>
      <w:pPr>
        <w:spacing w:before="0" w:after="60"/>
        <w:ind w:left="504" w:hanging="360"/>
      </w:pPr>
      <w:r>
        <w:rPr>
          <w:b/>
          <w:color w:val="2F6F73"/>
        </w:rPr>
        <w:t xml:space="preserve">4. </w:t>
      </w:r>
      <w:r>
        <w:rPr/>
        <w:t>For Plus P1 and P2, use the listed alternates (6-8 "Job Scams" and "My Limits"; 9-12 "Spot the Scam" and the Two-Week Experiment) and make sure each alternate still hands over the reporting or help card.</w:t>
      </w:r>
    </w:p>
    <w:p>
      <w:pPr>
        <w:spacing w:before="0" w:after="60"/>
        <w:ind w:left="504" w:hanging="360"/>
      </w:pPr>
      <w:r>
        <w:rPr>
          <w:b/>
          <w:color w:val="2F6F73"/>
        </w:rPr>
        <w:t xml:space="preserve">5. </w:t>
      </w:r>
      <w:r>
        <w:rPr/>
        <w:t>Make sure the child knows the core help message in the family's own words: "If anything ever worries you, tell a grown-up you trust. You are never in trouble."</w:t>
      </w:r>
    </w:p>
    <w:p>
      <w:pPr>
        <w:spacing w:before="0" w:after="60"/>
        <w:ind w:left="504" w:hanging="360"/>
      </w:pPr>
      <w:r>
        <w:rPr>
          <w:b/>
          <w:color w:val="2F6F73"/>
        </w:rPr>
        <w:t xml:space="preserve">6. </w:t>
      </w:r>
      <w:r>
        <w:rPr/>
        <w:t>Record the opt-out in the confidential file. The tracker takes the count only.</w:t>
      </w:r>
    </w:p>
    <w:p>
      <w:pPr>
        <w:spacing w:before="0" w:after="60"/>
        <w:ind w:left="504" w:hanging="360"/>
      </w:pPr>
      <w:r>
        <w:rPr>
          <w:b/>
          <w:color w:val="2F6F73"/>
        </w:rPr>
        <w:t xml:space="preserve">7. </w:t>
      </w:r>
      <w:r>
        <w:rPr/>
        <w:t>Review each year. Families may change their minds at any time.</w:t>
      </w:r>
    </w:p>
    <w:p>
      <w:r>
        <w:rPr/>
        <w:t>Never say: "Your child will be left out," "You are keeping them unsafe," or "Everyone else is doing it."</w:t>
      </w:r>
    </w:p>
    <w:p>
      <w:pPr>
        <w:pStyle w:val="Heading2"/>
        <w:pBdr>
          <w:top w:val="single" w:sz="18" w:space="6" w:color="FF8A3D"/>
        </w:pBdr>
        <w:spacing w:before="320"/>
      </w:pPr>
      <w:r>
        <w:rPr>
          <w:rFonts w:ascii="Courier New" w:hAnsi="Courier New"/>
          <w:b w:val="0"/>
          <w:color w:val="A8400A"/>
          <w:sz w:val="20"/>
        </w:rPr>
        <w:t xml:space="preserve">07  </w:t>
      </w:r>
      <w:r>
        <w:rPr/>
        <w:t>When a student discloses</w:t>
      </w:r>
    </w:p>
    <w:p>
      <w:pPr>
        <w:spacing w:before="0" w:after="60"/>
        <w:ind w:left="504" w:hanging="360"/>
      </w:pPr>
      <w:r>
        <w:rPr>
          <w:b/>
          <w:color w:val="2F6F73"/>
        </w:rPr>
        <w:t xml:space="preserve">1. </w:t>
      </w:r>
      <w:r>
        <w:rPr/>
        <w:t>The teacher or any adult who hears it follows the First 10 Minutes steps (see the Crisis and Disclosure Flowchart) and the Disclosure and Incident Guide.</w:t>
      </w:r>
    </w:p>
    <w:p>
      <w:pPr>
        <w:spacing w:before="0" w:after="60"/>
        <w:ind w:left="504" w:hanging="360"/>
      </w:pPr>
      <w:r>
        <w:rPr>
          <w:b/>
          <w:color w:val="2F6F73"/>
        </w:rPr>
        <w:t xml:space="preserve">2. </w:t>
      </w:r>
      <w:r>
        <w:rPr/>
        <w:t>The adult reports personally under law and policy, then tells the administrator and counselor. [Local fill]</w:t>
      </w:r>
    </w:p>
    <w:p>
      <w:pPr>
        <w:spacing w:before="0" w:after="60"/>
        <w:ind w:left="504" w:hanging="360"/>
      </w:pPr>
      <w:r>
        <w:rPr>
          <w:b/>
          <w:color w:val="2F6F73"/>
        </w:rPr>
        <w:t xml:space="preserve">3. </w:t>
      </w:r>
      <w:r>
        <w:rPr/>
        <w:t>The counselor supports the student. The counselor does not investigate and does not promise secrecy.</w:t>
      </w:r>
    </w:p>
    <w:p>
      <w:pPr>
        <w:spacing w:before="0" w:after="60"/>
        <w:ind w:left="504" w:hanging="360"/>
      </w:pPr>
      <w:r>
        <w:rPr>
          <w:b/>
          <w:color w:val="2F6F73"/>
        </w:rPr>
        <w:t xml:space="preserve">4. </w:t>
      </w:r>
      <w:r>
        <w:rPr/>
        <w:t>The administrator decides, with counsel and the reporting authority, how and when families are told, keeping the child's safety first.</w:t>
      </w:r>
    </w:p>
    <w:p>
      <w:pPr>
        <w:spacing w:before="0" w:after="60"/>
        <w:ind w:left="504" w:hanging="360"/>
      </w:pPr>
      <w:r>
        <w:rPr>
          <w:b/>
          <w:color w:val="2F6F73"/>
        </w:rPr>
        <w:t xml:space="preserve">5. </w:t>
      </w:r>
      <w:r>
        <w:rPr/>
        <w:t>If a family member may be involved, or the student fears for their safety, do not contact the family first. Follow the advice of the child-protection or law-enforcement contact.</w:t>
      </w:r>
    </w:p>
    <w:p>
      <w:pPr>
        <w:spacing w:before="0" w:after="60"/>
        <w:ind w:left="504" w:hanging="360"/>
      </w:pPr>
      <w:r>
        <w:rPr>
          <w:b/>
          <w:color w:val="2F6F73"/>
        </w:rPr>
        <w:t xml:space="preserve">6. </w:t>
      </w:r>
      <w:r>
        <w:rPr/>
        <w:t>If images are involved, nobody views, copies, forwards or screenshots them. The device is secured as policy directs.</w:t>
      </w:r>
    </w:p>
    <w:p>
      <w:pPr>
        <w:spacing w:before="0" w:after="60"/>
        <w:ind w:left="504" w:hanging="360"/>
      </w:pPr>
      <w:r>
        <w:rPr>
          <w:b/>
          <w:color w:val="2F6F73"/>
        </w:rPr>
        <w:t xml:space="preserve">7. </w:t>
      </w:r>
      <w:r>
        <w:rPr/>
        <w:t>If a student is at risk of self-harm, stay with them, follow the crisis protocol, and use 988 as appropriate. [VERIFIED 2026-10-05 in the kit's guides: 988lifeline.org]</w:t>
      </w:r>
    </w:p>
    <w:p>
      <w:pPr>
        <w:spacing w:before="0" w:after="60"/>
        <w:ind w:left="504" w:hanging="360"/>
      </w:pPr>
      <w:r>
        <w:rPr>
          <w:b/>
          <w:color w:val="2F6F73"/>
        </w:rPr>
        <w:t xml:space="preserve">8. </w:t>
      </w:r>
      <w:r>
        <w:rPr/>
        <w:t>The counselor checks on the teacher the same day.</w:t>
      </w:r>
    </w:p>
    <w:p>
      <w:pPr>
        <w:pStyle w:val="Heading2"/>
        <w:pBdr>
          <w:top w:val="single" w:sz="18" w:space="6" w:color="FF8A3D"/>
        </w:pBdr>
        <w:spacing w:before="320"/>
      </w:pPr>
      <w:r>
        <w:rPr>
          <w:rFonts w:ascii="Courier New" w:hAnsi="Courier New"/>
          <w:b w:val="0"/>
          <w:color w:val="A8400A"/>
          <w:sz w:val="20"/>
        </w:rPr>
        <w:t xml:space="preserve">08  </w:t>
      </w:r>
      <w:r>
        <w:rPr/>
        <w:t>Counselor checklist for a sensitive-lesson day</w:t>
      </w:r>
    </w:p>
    <w:p>
      <w:pPr>
        <w:spacing w:before="0" w:after="60"/>
        <w:ind w:left="504" w:hanging="360"/>
      </w:pPr>
      <w:r>
        <w:rPr>
          <w:rFonts w:ascii="Segoe UI Symbol" w:hAnsi="Segoe UI Symbol"/>
        </w:rPr>
        <w:t xml:space="preserve">☐ </w:t>
      </w:r>
      <w:r>
        <w:rPr/>
        <w:t>I know which classes have the lesson and when.</w:t>
      </w:r>
    </w:p>
    <w:p>
      <w:pPr>
        <w:spacing w:before="0" w:after="60"/>
        <w:ind w:left="504" w:hanging="360"/>
      </w:pPr>
      <w:r>
        <w:rPr>
          <w:rFonts w:ascii="Segoe UI Symbol" w:hAnsi="Segoe UI Symbol"/>
        </w:rPr>
        <w:t xml:space="preserve">☐ </w:t>
      </w:r>
      <w:r>
        <w:rPr/>
        <w:t>I am free, or have coverage, during and after each lesson.</w:t>
      </w:r>
    </w:p>
    <w:p>
      <w:pPr>
        <w:spacing w:before="0" w:after="60"/>
        <w:ind w:left="504" w:hanging="360"/>
      </w:pPr>
      <w:r>
        <w:rPr>
          <w:rFonts w:ascii="Segoe UI Symbol" w:hAnsi="Segoe UI Symbol"/>
        </w:rPr>
        <w:t xml:space="preserve">☐ </w:t>
      </w:r>
      <w:r>
        <w:rPr/>
        <w:t>A quiet private space is ready.</w:t>
      </w:r>
    </w:p>
    <w:p>
      <w:pPr>
        <w:spacing w:before="0" w:after="60"/>
        <w:ind w:left="504" w:hanging="360"/>
      </w:pPr>
      <w:r>
        <w:rPr>
          <w:rFonts w:ascii="Segoe UI Symbol" w:hAnsi="Segoe UI Symbol"/>
        </w:rPr>
        <w:t xml:space="preserve">☐ </w:t>
      </w:r>
      <w:r>
        <w:rPr/>
        <w:t>I have the list of opt-outs and each alternate arrangement.</w:t>
      </w:r>
    </w:p>
    <w:p>
      <w:pPr>
        <w:spacing w:before="0" w:after="60"/>
        <w:ind w:left="504" w:hanging="360"/>
      </w:pPr>
      <w:r>
        <w:rPr>
          <w:rFonts w:ascii="Segoe UI Symbol" w:hAnsi="Segoe UI Symbol"/>
        </w:rPr>
        <w:t xml:space="preserve">☐ </w:t>
      </w:r>
      <w:r>
        <w:rPr/>
        <w:t>I have a confidential list of students who may need a check-in before the lesson.</w:t>
      </w:r>
    </w:p>
    <w:p>
      <w:pPr>
        <w:spacing w:before="0" w:after="60"/>
        <w:ind w:left="504" w:hanging="360"/>
      </w:pPr>
      <w:r>
        <w:rPr>
          <w:rFonts w:ascii="Segoe UI Symbol" w:hAnsi="Segoe UI Symbol"/>
        </w:rPr>
        <w:t xml:space="preserve">☐ </w:t>
      </w:r>
      <w:r>
        <w:rPr/>
        <w:t>I have blank Disclosure and Incident Records and know our reporting steps. [local fill]</w:t>
      </w:r>
    </w:p>
    <w:p>
      <w:pPr>
        <w:spacing w:before="0" w:after="60"/>
        <w:ind w:left="504" w:hanging="360"/>
      </w:pPr>
      <w:r>
        <w:rPr>
          <w:rFonts w:ascii="Segoe UI Symbol" w:hAnsi="Segoe UI Symbol"/>
        </w:rPr>
        <w:t xml:space="preserve">☐ </w:t>
      </w:r>
      <w:r>
        <w:rPr/>
        <w:t>I know who the administrator on call is.</w:t>
      </w:r>
    </w:p>
    <w:p>
      <w:pPr>
        <w:spacing w:before="0" w:after="60"/>
        <w:ind w:left="504" w:hanging="360"/>
      </w:pPr>
      <w:r>
        <w:rPr>
          <w:rFonts w:ascii="Segoe UI Symbol" w:hAnsi="Segoe UI Symbol"/>
        </w:rPr>
        <w:t xml:space="preserve">☐ </w:t>
      </w:r>
      <w:r>
        <w:rPr/>
        <w:t>I have resource information ready: 988, Crisis Text Line, the NCMEC CyberTipline, Take It Down, our state child-abuse line [local fill] and, where relevant, human trafficking hotlines. [VERIFY all numbers before printing]</w:t>
      </w:r>
    </w:p>
    <w:p>
      <w:pPr>
        <w:spacing w:before="0" w:after="60"/>
        <w:ind w:left="504" w:hanging="360"/>
      </w:pPr>
      <w:r>
        <w:rPr>
          <w:rFonts w:ascii="Segoe UI Symbol" w:hAnsi="Segoe UI Symbol"/>
        </w:rPr>
        <w:t xml:space="preserve">☐ </w:t>
      </w:r>
      <w:r>
        <w:rPr/>
        <w:t>For Plus P1 and P2 I have confirmed that the review is done.</w:t>
      </w:r>
    </w:p>
    <w:p>
      <w:pPr>
        <w:pStyle w:val="Heading2"/>
        <w:pBdr>
          <w:top w:val="single" w:sz="18" w:space="6" w:color="FF8A3D"/>
        </w:pBdr>
        <w:spacing w:before="320"/>
      </w:pPr>
      <w:r>
        <w:rPr>
          <w:rFonts w:ascii="Courier New" w:hAnsi="Courier New"/>
          <w:b w:val="0"/>
          <w:color w:val="A8400A"/>
          <w:sz w:val="20"/>
        </w:rPr>
        <w:t xml:space="preserve">09  </w:t>
      </w:r>
      <w:r>
        <w:rPr/>
        <w:t>Counts the counselor reports (no names)</w:t>
      </w:r>
    </w:p>
    <w:p>
      <w:r>
        <w:rPr/>
        <w:t>Number of sensitive lessons delivered, number of students who asked to talk, number of referrals, number of reports made as required (only if policy permits sharing), themes and needs. These go to the administrator and, as tallies, into the tracker's "Support and safety" columns. A rising number of disclosures after a lesson is expected and is not a sign of failure.</w:t>
      </w:r>
    </w:p>
    <w:p>
      <w:pPr>
        <w:pStyle w:val="Heading2"/>
        <w:pBdr>
          <w:top w:val="single" w:sz="18" w:space="6" w:color="FF8A3D"/>
        </w:pBdr>
        <w:spacing w:before="320"/>
      </w:pPr>
      <w:r>
        <w:rPr>
          <w:rFonts w:ascii="Courier New" w:hAnsi="Courier New"/>
          <w:b w:val="0"/>
          <w:color w:val="A8400A"/>
          <w:sz w:val="20"/>
        </w:rPr>
        <w:t xml:space="preserve">10  </w:t>
      </w:r>
      <w:r>
        <w:rPr/>
        <w:t>Limits</w:t>
      </w:r>
    </w:p>
    <w:p>
      <w:r>
        <w:rPr/>
        <w:t>This protocol is guidance, not legal advice. Reporting duties differ by state, district and school type. The kit's guides have not had a human counselor or child-safety review as of 2026-10-05. Ask your own counselor and counsel to review before use. [COUNSEL TO CONFIRM]</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COUNSELOR COORDINATION PROTOCOL</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Counselor Coordination Protocol</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