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Kit Index</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Hackles · a free kit · quillsup.org · October 2026</w:t>
      </w:r>
    </w:p>
    <w:p>
      <w:r>
        <w:rPr>
          <w:b/>
        </w:rPr>
        <w:t>Trust your hackles.</w:t>
      </w:r>
      <w:r>
        <w:rPr/>
        <w:t xml:space="preserve"> Pause · Check · Tell</w:t>
      </w:r>
    </w:p>
    <w:p>
      <w:r>
        <w:rPr/>
        <w:t>Hackles · a free kit · quillsup.org · ©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t>No student accounts. No student data collected, ever. Hackles has not been evaluated in a controlled study, and it does not replace school safeguarding procedures, counseling or professional advice.</w:t>
      </w:r>
    </w:p>
    <w:p>
      <w:r>
        <w:rPr>
          <w:b/>
        </w:rPr>
        <w:t>Status: pilot draft.</w:t>
      </w:r>
      <w:r>
        <w:rPr/>
        <w:t xml:space="preserve"> The text was drafted with AI assistance and checked by AI reviewers. A school counselor, a child-safety expert and an attorney have not yet reviewed it, and many hotline numbers, statistics and state-law statements still carry a [VERIFY] flag. Read </w:t>
      </w:r>
      <w:r>
        <w:rPr>
          <w:rFonts w:ascii="Consolas" w:hAnsi="Consolas"/>
          <w:color w:val="A8400A"/>
        </w:rPr>
        <w:t>VERIFY_Checklist</w:t>
      </w:r>
      <w:r>
        <w:rPr/>
        <w:t xml:space="preserve"> before you rely on any of them. Do not tell families it is approved by any state agency.</w:t>
      </w:r>
    </w:p>
    <w:p>
      <w:pPr>
        <w:pBdr>
          <w:bottom w:val="single" w:sz="6" w:space="1" w:color="8C8672"/>
        </w:pBdr>
        <w:spacing w:before="40" w:after="120"/>
      </w:pPr>
    </w:p>
    <w:p>
      <w:pPr>
        <w:pStyle w:val="Heading2"/>
        <w:pBdr>
          <w:top w:val="single" w:sz="18" w:space="6" w:color="FF8A3D"/>
        </w:pBdr>
        <w:spacing w:before="320"/>
      </w:pPr>
      <w:r>
        <w:rPr>
          <w:rFonts w:ascii="Courier New" w:hAnsi="Courier New"/>
          <w:b w:val="0"/>
          <w:color w:val="A8400A"/>
          <w:sz w:val="20"/>
        </w:rPr>
        <w:t xml:space="preserve">01  </w:t>
      </w:r>
      <w:r>
        <w:rPr/>
        <w:t>What Hackles is</w:t>
      </w:r>
    </w:p>
    <w:p>
      <w:r>
        <w:rPr/>
        <w:t>Hackles teaches children one habit. When something online feels off, they notice the feeling (</w:t>
      </w:r>
      <w:r>
        <w:rPr>
          <w:b/>
        </w:rPr>
        <w:t>Hackles up?</w:t>
      </w:r>
      <w:r>
        <w:rPr/>
        <w:t>), stop (</w:t>
      </w:r>
      <w:r>
        <w:rPr>
          <w:b/>
        </w:rPr>
        <w:t>Pause</w:t>
      </w:r>
      <w:r>
        <w:rPr/>
        <w:t>), take a second look (</w:t>
      </w:r>
      <w:r>
        <w:rPr>
          <w:b/>
        </w:rPr>
        <w:t>Check</w:t>
      </w:r>
      <w:r>
        <w:rPr/>
        <w:t>) and tell a trusted adult (</w:t>
      </w:r>
      <w:r>
        <w:rPr>
          <w:b/>
        </w:rPr>
        <w:t>Tell</w:t>
      </w:r>
      <w:r>
        <w:rPr/>
        <w:t>). A false alarm is fine. If something already went wrong, it was never the child's fault.</w:t>
      </w:r>
    </w:p>
    <w:p>
      <w:r>
        <w:rPr/>
        <w:t>The kit has 47 lessons of 15 minutes each: ten per grade band (K-2, 3-5, 6-8, 9-12) plus seven Plus lessons for older students (6-8 P1 to P3, 9-12 P1 to P4) that cover topics some states require. Around the lessons you will find slides, one-page lesson cards, six offline classroom tools, training for teachers, materials for families, administrators, colleges and out-of-school clubs, and a searchable web edition.</w:t>
      </w:r>
    </w:p>
    <w:p>
      <w:pPr>
        <w:pStyle w:val="Heading2"/>
        <w:pBdr>
          <w:top w:val="single" w:sz="18" w:space="6" w:color="FF8A3D"/>
        </w:pBdr>
        <w:spacing w:before="320"/>
      </w:pPr>
      <w:r>
        <w:rPr>
          <w:rFonts w:ascii="Courier New" w:hAnsi="Courier New"/>
          <w:b w:val="0"/>
          <w:color w:val="A8400A"/>
          <w:sz w:val="20"/>
        </w:rPr>
        <w:t xml:space="preserve">02  </w:t>
      </w:r>
      <w:r>
        <w:rPr/>
        <w:t>Start here by role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80"/>
        <w:gridCol w:w="3916"/>
        <w:gridCol w:w="3886"/>
        <w:gridCol w:w="1010"/>
      </w:tblGrid>
      <w:tr>
        <w:trPr>
          <w:tblHeader/>
          <w:cantSplit/>
        </w:trPr>
        <w:tc>
          <w:tcPr>
            <w:tcW w:type="dxa" w:w="98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IF YOU ARE A...</w:t>
            </w:r>
          </w:p>
        </w:tc>
        <w:tc>
          <w:tcPr>
            <w:tcW w:type="dxa" w:w="391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READ FIRST</w:t>
            </w:r>
          </w:p>
        </w:tc>
        <w:tc>
          <w:tcPr>
            <w:tcW w:type="dxa" w:w="3886"/>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THEN</w:t>
            </w:r>
          </w:p>
        </w:tc>
        <w:tc>
          <w:tcPr>
            <w:tcW w:type="dxa" w:w="101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 NOT SKIP</w:t>
            </w:r>
          </w:p>
        </w:tc>
      </w:tr>
      <w:tr>
        <w:trPr>
          <w:cantSplit/>
        </w:trPr>
        <w:tc>
          <w:tcPr>
            <w:tcW w:type="dxa" w:w="980"/>
            <w:tcMar>
              <w:top w:w="50" w:type="dxa"/>
              <w:left w:w="0" w:type="dxa"/>
              <w:bottom w:w="60" w:type="dxa"/>
              <w:right w:w="90" w:type="dxa"/>
            </w:tcMar>
          </w:tcPr>
          <w:p>
            <w:pPr>
              <w:spacing w:before="0" w:after="0" w:line="252" w:lineRule="auto"/>
            </w:pPr>
            <w:r>
              <w:rPr>
                <w:rFonts w:ascii="Calibri" w:hAnsi="Calibri"/>
                <w:b/>
                <w:sz w:val="19"/>
              </w:rPr>
              <w:t>Classroom teacher</w:t>
            </w:r>
          </w:p>
        </w:tc>
        <w:tc>
          <w:tcPr>
            <w:tcW w:type="dxa" w:w="3916"/>
            <w:tcMar>
              <w:top w:w="50" w:type="dxa"/>
              <w:left w:w="90" w:type="dxa"/>
              <w:bottom w:w="60" w:type="dxa"/>
              <w:right w:w="90" w:type="dxa"/>
            </w:tcMar>
          </w:tcPr>
          <w:p>
            <w:pPr>
              <w:spacing w:before="0" w:after="0" w:line="252" w:lineRule="auto"/>
            </w:pPr>
            <w:r>
              <w:rPr>
                <w:rFonts w:ascii="Consolas" w:hAnsi="Consolas"/>
                <w:color w:val="A8400A"/>
                <w:sz w:val="19"/>
              </w:rPr>
              <w:t>05_Teacher_Support/Teacher_Primer</w:t>
            </w:r>
            <w:r>
              <w:rPr>
                <w:rFonts w:ascii="Calibri" w:hAnsi="Calibri"/>
                <w:sz w:val="19"/>
              </w:rPr>
              <w:t>, then the Lesson Cards booklet for your band (</w:t>
            </w:r>
            <w:r>
              <w:rPr>
                <w:rFonts w:ascii="Consolas" w:hAnsi="Consolas"/>
                <w:color w:val="A8400A"/>
                <w:sz w:val="19"/>
              </w:rPr>
              <w:t>24_Lesson_Cards</w:t>
            </w:r>
            <w:r>
              <w:rPr>
                <w:rFonts w:ascii="Calibri" w:hAnsi="Calibri"/>
                <w:sz w:val="19"/>
              </w:rPr>
              <w:t>)</w:t>
            </w:r>
          </w:p>
        </w:tc>
        <w:tc>
          <w:tcPr>
            <w:tcW w:type="dxa" w:w="3886"/>
            <w:tcMar>
              <w:top w:w="50" w:type="dxa"/>
              <w:left w:w="90" w:type="dxa"/>
              <w:bottom w:w="60" w:type="dxa"/>
              <w:right w:w="90" w:type="dxa"/>
            </w:tcMar>
          </w:tcPr>
          <w:p>
            <w:pPr>
              <w:spacing w:before="0" w:after="0" w:line="252" w:lineRule="auto"/>
            </w:pPr>
            <w:r>
              <w:rPr>
                <w:rFonts w:ascii="Calibri" w:hAnsi="Calibri"/>
                <w:sz w:val="19"/>
              </w:rPr>
              <w:t>Your band's Teacher Guide; the Slides (</w:t>
            </w:r>
            <w:r>
              <w:rPr>
                <w:rFonts w:ascii="Consolas" w:hAnsi="Consolas"/>
                <w:color w:val="A8400A"/>
                <w:sz w:val="19"/>
              </w:rPr>
              <w:t>25_Slides</w:t>
            </w:r>
            <w:r>
              <w:rPr>
                <w:rFonts w:ascii="Calibri" w:hAnsi="Calibri"/>
                <w:sz w:val="19"/>
              </w:rPr>
              <w:t>)</w:t>
            </w:r>
          </w:p>
        </w:tc>
        <w:tc>
          <w:tcPr>
            <w:tcW w:type="dxa" w:w="1010"/>
            <w:tcMar>
              <w:top w:w="50" w:type="dxa"/>
              <w:left w:w="90" w:type="dxa"/>
              <w:bottom w:w="60" w:type="dxa"/>
              <w:right w:w="90" w:type="dxa"/>
            </w:tcMar>
          </w:tcPr>
          <w:p>
            <w:pPr>
              <w:spacing w:before="0" w:after="0" w:line="252" w:lineRule="auto"/>
            </w:pPr>
            <w:r>
              <w:rPr>
                <w:rFonts w:ascii="Calibri" w:hAnsi="Calibri"/>
                <w:sz w:val="19"/>
              </w:rPr>
              <w:t>The Disclosure and Incident Guide and your school's reporting policy</w:t>
            </w:r>
          </w:p>
        </w:tc>
      </w:tr>
      <w:tr>
        <w:trPr>
          <w:cantSplit/>
        </w:trPr>
        <w:tc>
          <w:tcPr>
            <w:tcW w:type="dxa" w:w="980"/>
            <w:tcMar>
              <w:top w:w="50" w:type="dxa"/>
              <w:left w:w="0" w:type="dxa"/>
              <w:bottom w:w="60" w:type="dxa"/>
              <w:right w:w="90" w:type="dxa"/>
            </w:tcMar>
          </w:tcPr>
          <w:p>
            <w:pPr>
              <w:spacing w:before="0" w:after="0" w:line="252" w:lineRule="auto"/>
            </w:pPr>
            <w:r>
              <w:rPr>
                <w:rFonts w:ascii="Calibri" w:hAnsi="Calibri"/>
                <w:b/>
                <w:sz w:val="19"/>
              </w:rPr>
              <w:t>Parent or caregiver</w:t>
            </w:r>
          </w:p>
        </w:tc>
        <w:tc>
          <w:tcPr>
            <w:tcW w:type="dxa" w:w="3916"/>
            <w:tcMar>
              <w:top w:w="50" w:type="dxa"/>
              <w:left w:w="90" w:type="dxa"/>
              <w:bottom w:w="60" w:type="dxa"/>
              <w:right w:w="90" w:type="dxa"/>
            </w:tcMar>
          </w:tcPr>
          <w:p>
            <w:pPr>
              <w:spacing w:before="0" w:after="0" w:line="252" w:lineRule="auto"/>
            </w:pPr>
            <w:r>
              <w:rPr>
                <w:rFonts w:ascii="Consolas" w:hAnsi="Consolas"/>
                <w:color w:val="A8400A"/>
                <w:sz w:val="19"/>
              </w:rPr>
              <w:t>06_Family/Family_Engagement_Pack</w:t>
            </w:r>
          </w:p>
        </w:tc>
        <w:tc>
          <w:tcPr>
            <w:tcW w:type="dxa" w:w="3886"/>
            <w:tcMar>
              <w:top w:w="50" w:type="dxa"/>
              <w:left w:w="90" w:type="dxa"/>
              <w:bottom w:w="60" w:type="dxa"/>
              <w:right w:w="90" w:type="dxa"/>
            </w:tcMar>
          </w:tcPr>
          <w:p>
            <w:pPr>
              <w:spacing w:before="0" w:after="0" w:line="252" w:lineRule="auto"/>
            </w:pPr>
            <w:r>
              <w:rPr>
                <w:rFonts w:ascii="Calibri" w:hAnsi="Calibri"/>
                <w:sz w:val="19"/>
              </w:rPr>
              <w:t>The family card that comes home with each lesson; the coloring and activity books (</w:t>
            </w:r>
            <w:r>
              <w:rPr>
                <w:rFonts w:ascii="Consolas" w:hAnsi="Consolas"/>
                <w:color w:val="A8400A"/>
                <w:sz w:val="19"/>
              </w:rPr>
              <w:t>15_Coloring_and_Drawing</w:t>
            </w:r>
            <w:r>
              <w:rPr>
                <w:rFonts w:ascii="Calibri" w:hAnsi="Calibri"/>
                <w:sz w:val="19"/>
              </w:rPr>
              <w:t>)</w:t>
            </w:r>
          </w:p>
        </w:tc>
        <w:tc>
          <w:tcPr>
            <w:tcW w:type="dxa" w:w="1010"/>
            <w:tcMar>
              <w:top w:w="50" w:type="dxa"/>
              <w:left w:w="90" w:type="dxa"/>
              <w:bottom w:w="60" w:type="dxa"/>
              <w:right w:w="90" w:type="dxa"/>
            </w:tcMar>
          </w:tcPr>
          <w:p>
            <w:pPr>
              <w:spacing w:before="0" w:after="0" w:line="252" w:lineRule="auto"/>
            </w:pPr>
            <w:r>
              <w:rPr>
                <w:rFonts w:ascii="Calibri" w:hAnsi="Calibri"/>
                <w:sz w:val="19"/>
              </w:rPr>
              <w:t>"It is never your fault. Tell." and the family code word</w:t>
            </w:r>
          </w:p>
        </w:tc>
      </w:tr>
      <w:tr>
        <w:trPr>
          <w:cantSplit/>
        </w:trPr>
        <w:tc>
          <w:tcPr>
            <w:tcW w:type="dxa" w:w="980"/>
            <w:tcMar>
              <w:top w:w="50" w:type="dxa"/>
              <w:left w:w="0" w:type="dxa"/>
              <w:bottom w:w="60" w:type="dxa"/>
              <w:right w:w="90" w:type="dxa"/>
            </w:tcMar>
          </w:tcPr>
          <w:p>
            <w:pPr>
              <w:spacing w:before="0" w:after="0" w:line="252" w:lineRule="auto"/>
            </w:pPr>
            <w:r>
              <w:rPr>
                <w:rFonts w:ascii="Calibri" w:hAnsi="Calibri"/>
                <w:b/>
                <w:sz w:val="19"/>
              </w:rPr>
              <w:t>School counselor</w:t>
            </w:r>
          </w:p>
        </w:tc>
        <w:tc>
          <w:tcPr>
            <w:tcW w:type="dxa" w:w="3916"/>
            <w:tcMar>
              <w:top w:w="50" w:type="dxa"/>
              <w:left w:w="90" w:type="dxa"/>
              <w:bottom w:w="60" w:type="dxa"/>
              <w:right w:w="90" w:type="dxa"/>
            </w:tcMar>
          </w:tcPr>
          <w:p>
            <w:pPr>
              <w:spacing w:before="0" w:after="0" w:line="252" w:lineRule="auto"/>
            </w:pPr>
            <w:r>
              <w:rPr>
                <w:rFonts w:ascii="Consolas" w:hAnsi="Consolas"/>
                <w:color w:val="A8400A"/>
                <w:sz w:val="19"/>
              </w:rPr>
              <w:t>05_Teacher_Support/Counselor_Heads_Up_and_Opt_Out_Toolkit</w:t>
            </w:r>
          </w:p>
        </w:tc>
        <w:tc>
          <w:tcPr>
            <w:tcW w:type="dxa" w:w="3886"/>
            <w:tcMar>
              <w:top w:w="50" w:type="dxa"/>
              <w:left w:w="90" w:type="dxa"/>
              <w:bottom w:w="60" w:type="dxa"/>
              <w:right w:w="90" w:type="dxa"/>
            </w:tcMar>
          </w:tcPr>
          <w:p>
            <w:pPr>
              <w:spacing w:before="0" w:after="0" w:line="252" w:lineRule="auto"/>
            </w:pPr>
            <w:r>
              <w:rPr>
                <w:rFonts w:ascii="Calibri" w:hAnsi="Calibri"/>
                <w:sz w:val="19"/>
              </w:rPr>
              <w:t>The Disclosure and Incident Guide; Academy Module 6; the Inclusion and Equity Guide</w:t>
            </w:r>
          </w:p>
        </w:tc>
        <w:tc>
          <w:tcPr>
            <w:tcW w:type="dxa" w:w="1010"/>
            <w:tcMar>
              <w:top w:w="50" w:type="dxa"/>
              <w:left w:w="90" w:type="dxa"/>
              <w:bottom w:w="60" w:type="dxa"/>
              <w:right w:w="90" w:type="dxa"/>
            </w:tcMar>
          </w:tcPr>
          <w:p>
            <w:pPr>
              <w:spacing w:before="0" w:after="0" w:line="252" w:lineRule="auto"/>
            </w:pPr>
            <w:r>
              <w:rPr>
                <w:rFonts w:ascii="Calibri" w:hAnsi="Calibri"/>
                <w:sz w:val="19"/>
              </w:rPr>
              <w:t>Reviewing the sensitive lessons before anyone teaches them</w:t>
            </w:r>
          </w:p>
        </w:tc>
      </w:tr>
      <w:tr>
        <w:trPr>
          <w:cantSplit/>
        </w:trPr>
        <w:tc>
          <w:tcPr>
            <w:tcW w:type="dxa" w:w="980"/>
            <w:tcMar>
              <w:top w:w="50" w:type="dxa"/>
              <w:left w:w="0" w:type="dxa"/>
              <w:bottom w:w="60" w:type="dxa"/>
              <w:right w:w="90" w:type="dxa"/>
            </w:tcMar>
          </w:tcPr>
          <w:p>
            <w:pPr>
              <w:spacing w:before="0" w:after="0" w:line="252" w:lineRule="auto"/>
            </w:pPr>
            <w:r>
              <w:rPr>
                <w:rFonts w:ascii="Calibri" w:hAnsi="Calibri"/>
                <w:b/>
                <w:sz w:val="19"/>
              </w:rPr>
              <w:t>Principal, district or library lead</w:t>
            </w:r>
          </w:p>
        </w:tc>
        <w:tc>
          <w:tcPr>
            <w:tcW w:type="dxa" w:w="3916"/>
            <w:tcMar>
              <w:top w:w="50" w:type="dxa"/>
              <w:left w:w="90" w:type="dxa"/>
              <w:bottom w:w="60" w:type="dxa"/>
              <w:right w:w="90" w:type="dxa"/>
            </w:tcMar>
          </w:tcPr>
          <w:p>
            <w:pPr>
              <w:spacing w:before="0" w:after="0" w:line="252" w:lineRule="auto"/>
            </w:pPr>
            <w:r>
              <w:rPr>
                <w:rFonts w:ascii="Consolas" w:hAnsi="Consolas"/>
                <w:color w:val="A8400A"/>
                <w:sz w:val="19"/>
              </w:rPr>
              <w:t>29_Admin/00_Start_Here_Administrators</w:t>
            </w:r>
          </w:p>
        </w:tc>
        <w:tc>
          <w:tcPr>
            <w:tcW w:type="dxa" w:w="3886"/>
            <w:tcMar>
              <w:top w:w="50" w:type="dxa"/>
              <w:left w:w="90" w:type="dxa"/>
              <w:bottom w:w="60" w:type="dxa"/>
              <w:right w:w="90" w:type="dxa"/>
            </w:tcMar>
          </w:tcPr>
          <w:p>
            <w:pPr>
              <w:spacing w:before="0" w:after="0" w:line="252" w:lineRule="auto"/>
            </w:pPr>
            <w:r>
              <w:rPr>
                <w:rFonts w:ascii="Calibri" w:hAnsi="Calibri"/>
                <w:sz w:val="19"/>
              </w:rPr>
              <w:t xml:space="preserve">The procurement and privacy documents; the board memo and policy language; </w:t>
            </w:r>
            <w:r>
              <w:rPr>
                <w:rFonts w:ascii="Consolas" w:hAnsi="Consolas"/>
                <w:color w:val="A8400A"/>
                <w:sz w:val="19"/>
              </w:rPr>
              <w:t>20_Florida</w:t>
            </w:r>
            <w:r>
              <w:rPr>
                <w:rFonts w:ascii="Calibri" w:hAnsi="Calibri"/>
                <w:sz w:val="19"/>
              </w:rPr>
              <w:t xml:space="preserve"> and </w:t>
            </w:r>
            <w:r>
              <w:rPr>
                <w:rFonts w:ascii="Consolas" w:hAnsi="Consolas"/>
                <w:color w:val="A8400A"/>
                <w:sz w:val="19"/>
              </w:rPr>
              <w:t>23_State_Atlas</w:t>
            </w:r>
            <w:r>
              <w:rPr>
                <w:rFonts w:ascii="Calibri" w:hAnsi="Calibri"/>
                <w:sz w:val="19"/>
              </w:rPr>
              <w:t xml:space="preserve"> for state rules</w:t>
            </w:r>
          </w:p>
        </w:tc>
        <w:tc>
          <w:tcPr>
            <w:tcW w:type="dxa" w:w="1010"/>
            <w:tcMar>
              <w:top w:w="50" w:type="dxa"/>
              <w:left w:w="90" w:type="dxa"/>
              <w:bottom w:w="60" w:type="dxa"/>
              <w:right w:w="90" w:type="dxa"/>
            </w:tcMar>
          </w:tcPr>
          <w:p>
            <w:pPr>
              <w:spacing w:before="0" w:after="0" w:line="252" w:lineRule="auto"/>
            </w:pPr>
            <w:r>
              <w:rPr>
                <w:rFonts w:ascii="Calibri" w:hAnsi="Calibri"/>
                <w:sz w:val="19"/>
              </w:rPr>
              <w:t>Local counsel on every legal statement</w:t>
            </w:r>
          </w:p>
        </w:tc>
      </w:tr>
      <w:tr>
        <w:trPr>
          <w:cantSplit/>
        </w:trPr>
        <w:tc>
          <w:tcPr>
            <w:tcW w:type="dxa" w:w="980"/>
            <w:tcMar>
              <w:top w:w="50" w:type="dxa"/>
              <w:left w:w="0" w:type="dxa"/>
              <w:bottom w:w="60" w:type="dxa"/>
              <w:right w:w="90" w:type="dxa"/>
            </w:tcMar>
          </w:tcPr>
          <w:p>
            <w:pPr>
              <w:spacing w:before="0" w:after="0" w:line="252" w:lineRule="auto"/>
            </w:pPr>
            <w:r>
              <w:rPr>
                <w:rFonts w:ascii="Calibri" w:hAnsi="Calibri"/>
                <w:b/>
                <w:sz w:val="19"/>
              </w:rPr>
              <w:t>College or university</w:t>
            </w:r>
          </w:p>
        </w:tc>
        <w:tc>
          <w:tcPr>
            <w:tcW w:type="dxa" w:w="3916"/>
            <w:tcMar>
              <w:top w:w="50" w:type="dxa"/>
              <w:left w:w="90" w:type="dxa"/>
              <w:bottom w:w="60" w:type="dxa"/>
              <w:right w:w="90" w:type="dxa"/>
            </w:tcMar>
          </w:tcPr>
          <w:p>
            <w:pPr>
              <w:spacing w:before="0" w:after="0" w:line="252" w:lineRule="auto"/>
            </w:pPr>
            <w:r>
              <w:rPr>
                <w:rFonts w:ascii="Consolas" w:hAnsi="Consolas"/>
                <w:color w:val="A8400A"/>
                <w:sz w:val="19"/>
              </w:rPr>
              <w:t>28_College</w:t>
            </w:r>
            <w:r>
              <w:rPr>
                <w:rFonts w:ascii="Calibri" w:hAnsi="Calibri"/>
                <w:sz w:val="19"/>
              </w:rPr>
              <w:t xml:space="preserve"> (start with the two </w:t>
            </w:r>
            <w:r>
              <w:rPr>
                <w:rFonts w:ascii="Consolas" w:hAnsi="Consolas"/>
                <w:color w:val="A8400A"/>
                <w:sz w:val="19"/>
              </w:rPr>
              <w:t>00_Start_Here</w:t>
            </w:r>
            <w:r>
              <w:rPr>
                <w:rFonts w:ascii="Calibri" w:hAnsi="Calibri"/>
                <w:sz w:val="19"/>
              </w:rPr>
              <w:t xml:space="preserve"> files)</w:t>
            </w:r>
          </w:p>
        </w:tc>
        <w:tc>
          <w:tcPr>
            <w:tcW w:type="dxa" w:w="3886"/>
            <w:tcMar>
              <w:top w:w="50" w:type="dxa"/>
              <w:left w:w="90" w:type="dxa"/>
              <w:bottom w:w="60" w:type="dxa"/>
              <w:right w:w="90" w:type="dxa"/>
            </w:tcMar>
          </w:tcPr>
          <w:p>
            <w:pPr>
              <w:spacing w:before="0" w:after="0" w:line="252" w:lineRule="auto"/>
            </w:pPr>
            <w:r>
              <w:rPr>
                <w:rFonts w:ascii="Calibri" w:hAnsi="Calibri"/>
                <w:sz w:val="19"/>
              </w:rPr>
              <w:t>The teacher-prep course; the campus module; Hackles Mentors; the research toolkit</w:t>
            </w:r>
          </w:p>
        </w:tc>
        <w:tc>
          <w:tcPr>
            <w:tcW w:type="dxa" w:w="1010"/>
            <w:tcMar>
              <w:top w:w="50" w:type="dxa"/>
              <w:left w:w="90" w:type="dxa"/>
              <w:bottom w:w="60" w:type="dxa"/>
              <w:right w:w="90" w:type="dxa"/>
            </w:tcMar>
          </w:tcPr>
          <w:p>
            <w:pPr>
              <w:spacing w:before="0" w:after="0" w:line="252" w:lineRule="auto"/>
            </w:pPr>
            <w:r>
              <w:rPr>
                <w:rFonts w:ascii="Calibri" w:hAnsi="Calibri"/>
                <w:sz w:val="19"/>
              </w:rPr>
              <w:t>Title IX, HR and counsel review before use</w:t>
            </w:r>
          </w:p>
        </w:tc>
      </w:tr>
      <w:tr>
        <w:trPr>
          <w:cantSplit/>
        </w:trPr>
        <w:tc>
          <w:tcPr>
            <w:tcW w:type="dxa" w:w="980"/>
            <w:tcMar>
              <w:top w:w="50" w:type="dxa"/>
              <w:left w:w="0" w:type="dxa"/>
              <w:bottom w:w="60" w:type="dxa"/>
              <w:right w:w="90" w:type="dxa"/>
            </w:tcMar>
          </w:tcPr>
          <w:p>
            <w:pPr>
              <w:spacing w:before="0" w:after="0" w:line="252" w:lineRule="auto"/>
            </w:pPr>
            <w:r>
              <w:rPr>
                <w:rFonts w:ascii="Calibri" w:hAnsi="Calibri"/>
                <w:b/>
                <w:sz w:val="19"/>
              </w:rPr>
              <w:t>Youth or library leader</w:t>
            </w:r>
          </w:p>
        </w:tc>
        <w:tc>
          <w:tcPr>
            <w:tcW w:type="dxa" w:w="3916"/>
            <w:tcMar>
              <w:top w:w="50" w:type="dxa"/>
              <w:left w:w="90" w:type="dxa"/>
              <w:bottom w:w="60" w:type="dxa"/>
              <w:right w:w="90" w:type="dxa"/>
            </w:tcMar>
          </w:tcPr>
          <w:p>
            <w:pPr>
              <w:spacing w:before="0" w:after="0" w:line="252" w:lineRule="auto"/>
            </w:pPr>
            <w:r>
              <w:rPr>
                <w:rFonts w:ascii="Consolas" w:hAnsi="Consolas"/>
                <w:color w:val="A8400A"/>
                <w:sz w:val="19"/>
              </w:rPr>
              <w:t>30_Clubs/00_Start_Here_Club_Leaders</w:t>
            </w:r>
          </w:p>
        </w:tc>
        <w:tc>
          <w:tcPr>
            <w:tcW w:type="dxa" w:w="3886"/>
            <w:tcMar>
              <w:top w:w="50" w:type="dxa"/>
              <w:left w:w="90" w:type="dxa"/>
              <w:bottom w:w="60" w:type="dxa"/>
              <w:right w:w="90" w:type="dxa"/>
            </w:tcMar>
          </w:tcPr>
          <w:p>
            <w:pPr>
              <w:spacing w:before="0" w:after="0" w:line="252" w:lineRule="auto"/>
            </w:pPr>
            <w:r>
              <w:rPr>
                <w:rFonts w:ascii="Calibri" w:hAnsi="Calibri"/>
                <w:sz w:val="19"/>
              </w:rPr>
              <w:t>The age track that fits your group; the family night kit</w:t>
            </w:r>
          </w:p>
        </w:tc>
        <w:tc>
          <w:tcPr>
            <w:tcW w:type="dxa" w:w="1010"/>
            <w:tcMar>
              <w:top w:w="50" w:type="dxa"/>
              <w:left w:w="90" w:type="dxa"/>
              <w:bottom w:w="60" w:type="dxa"/>
              <w:right w:w="90" w:type="dxa"/>
            </w:tcMar>
          </w:tcPr>
          <w:p>
            <w:pPr>
              <w:spacing w:before="0" w:after="0" w:line="252" w:lineRule="auto"/>
            </w:pPr>
            <w:r>
              <w:rPr>
                <w:rFonts w:ascii="Calibri" w:hAnsi="Calibri"/>
                <w:sz w:val="19"/>
              </w:rPr>
              <w:t>The two-adult rule and the "if a child tells you something" card</w:t>
            </w:r>
          </w:p>
        </w:tc>
      </w:tr>
      <w:tr>
        <w:trPr>
          <w:cantSplit/>
        </w:trPr>
        <w:tc>
          <w:tcPr>
            <w:tcW w:type="dxa" w:w="980"/>
            <w:tcMar>
              <w:top w:w="50" w:type="dxa"/>
              <w:left w:w="0" w:type="dxa"/>
              <w:bottom w:w="60" w:type="dxa"/>
              <w:right w:w="90" w:type="dxa"/>
            </w:tcMar>
          </w:tcPr>
          <w:p>
            <w:pPr>
              <w:spacing w:before="0" w:after="0" w:line="252" w:lineRule="auto"/>
            </w:pPr>
            <w:r>
              <w:rPr>
                <w:rFonts w:ascii="Calibri" w:hAnsi="Calibri"/>
                <w:b/>
                <w:sz w:val="19"/>
              </w:rPr>
              <w:t>Trainer or PD lead</w:t>
            </w:r>
          </w:p>
        </w:tc>
        <w:tc>
          <w:tcPr>
            <w:tcW w:type="dxa" w:w="3916"/>
            <w:tcMar>
              <w:top w:w="50" w:type="dxa"/>
              <w:left w:w="90" w:type="dxa"/>
              <w:bottom w:w="60" w:type="dxa"/>
              <w:right w:w="90" w:type="dxa"/>
            </w:tcMar>
          </w:tcPr>
          <w:p>
            <w:pPr>
              <w:spacing w:before="0" w:after="0" w:line="252" w:lineRule="auto"/>
            </w:pPr>
            <w:r>
              <w:rPr>
                <w:rFonts w:ascii="Consolas" w:hAnsi="Consolas"/>
                <w:color w:val="A8400A"/>
                <w:sz w:val="19"/>
              </w:rPr>
              <w:t>12_Facilitator_Kit</w:t>
            </w:r>
          </w:p>
        </w:tc>
        <w:tc>
          <w:tcPr>
            <w:tcW w:type="dxa" w:w="3886"/>
            <w:tcMar>
              <w:top w:w="50" w:type="dxa"/>
              <w:left w:w="90" w:type="dxa"/>
              <w:bottom w:w="60" w:type="dxa"/>
              <w:right w:w="90" w:type="dxa"/>
            </w:tcMar>
          </w:tcPr>
          <w:p>
            <w:pPr>
              <w:spacing w:before="0" w:after="0" w:line="252" w:lineRule="auto"/>
            </w:pPr>
            <w:r>
              <w:rPr>
                <w:rFonts w:ascii="Consolas" w:hAnsi="Consolas"/>
                <w:color w:val="A8400A"/>
                <w:sz w:val="19"/>
              </w:rPr>
              <w:t>11_Teacher_Academy</w:t>
            </w:r>
            <w:r>
              <w:rPr>
                <w:rFonts w:ascii="Calibri" w:hAnsi="Calibri"/>
                <w:sz w:val="19"/>
              </w:rPr>
              <w:t xml:space="preserve">; </w:t>
            </w:r>
            <w:r>
              <w:rPr>
                <w:rFonts w:ascii="Consolas" w:hAnsi="Consolas"/>
                <w:color w:val="A8400A"/>
                <w:sz w:val="19"/>
              </w:rPr>
              <w:t>13_Concepts_Lab</w:t>
            </w:r>
          </w:p>
        </w:tc>
        <w:tc>
          <w:tcPr>
            <w:tcW w:type="dxa" w:w="1010"/>
            <w:tcMar>
              <w:top w:w="50" w:type="dxa"/>
              <w:left w:w="90" w:type="dxa"/>
              <w:bottom w:w="60" w:type="dxa"/>
              <w:right w:w="90" w:type="dxa"/>
            </w:tcMar>
          </w:tcPr>
          <w:p>
            <w:pPr>
              <w:spacing w:before="0" w:after="0" w:line="252" w:lineRule="auto"/>
            </w:pPr>
            <w:r>
              <w:rPr>
                <w:rFonts w:ascii="Calibri" w:hAnsi="Calibri"/>
                <w:sz w:val="19"/>
              </w:rPr>
              <w:t>Practice the First 10 Minutes drill with fictional cards</w:t>
            </w:r>
          </w:p>
        </w:tc>
      </w:tr>
      <w:tr>
        <w:trPr>
          <w:cantSplit/>
        </w:trPr>
        <w:tc>
          <w:tcPr>
            <w:tcW w:type="dxa" w:w="980"/>
            <w:tcMar>
              <w:top w:w="50" w:type="dxa"/>
              <w:left w:w="0" w:type="dxa"/>
              <w:bottom w:w="60" w:type="dxa"/>
              <w:right w:w="90" w:type="dxa"/>
            </w:tcMar>
          </w:tcPr>
          <w:p>
            <w:pPr>
              <w:spacing w:before="0" w:after="0" w:line="252" w:lineRule="auto"/>
            </w:pPr>
            <w:r>
              <w:rPr>
                <w:rFonts w:ascii="Calibri" w:hAnsi="Calibri"/>
                <w:b/>
                <w:sz w:val="19"/>
              </w:rPr>
              <w:t>Volunteer</w:t>
            </w:r>
          </w:p>
        </w:tc>
        <w:tc>
          <w:tcPr>
            <w:tcW w:type="dxa" w:w="3916"/>
            <w:tcMar>
              <w:top w:w="50" w:type="dxa"/>
              <w:left w:w="90" w:type="dxa"/>
              <w:bottom w:w="60" w:type="dxa"/>
              <w:right w:w="90" w:type="dxa"/>
            </w:tcMar>
          </w:tcPr>
          <w:p>
            <w:pPr>
              <w:spacing w:before="0" w:after="0" w:line="252" w:lineRule="auto"/>
            </w:pPr>
            <w:r>
              <w:rPr>
                <w:rFonts w:ascii="Consolas" w:hAnsi="Consolas"/>
                <w:color w:val="A8400A"/>
                <w:sz w:val="19"/>
              </w:rPr>
              <w:t>07_Assessment/Hackles_Day_Kit</w:t>
            </w:r>
          </w:p>
        </w:tc>
        <w:tc>
          <w:tcPr>
            <w:tcW w:type="dxa" w:w="3886"/>
            <w:tcMar>
              <w:top w:w="50" w:type="dxa"/>
              <w:left w:w="90" w:type="dxa"/>
              <w:bottom w:w="60" w:type="dxa"/>
              <w:right w:w="90" w:type="dxa"/>
            </w:tcMar>
          </w:tcPr>
          <w:p>
            <w:pPr>
              <w:spacing w:before="0" w:after="0" w:line="252" w:lineRule="auto"/>
            </w:pPr>
            <w:r>
              <w:rPr>
                <w:rFonts w:ascii="Consolas" w:hAnsi="Consolas"/>
                <w:color w:val="A8400A"/>
                <w:sz w:val="19"/>
              </w:rPr>
              <w:t>14_Games_and_Fun/09_Hackles_Day_Event_Plan</w:t>
            </w:r>
          </w:p>
        </w:tc>
        <w:tc>
          <w:tcPr>
            <w:tcW w:type="dxa" w:w="1010"/>
            <w:tcMar>
              <w:top w:w="50" w:type="dxa"/>
              <w:left w:w="90" w:type="dxa"/>
              <w:bottom w:w="60" w:type="dxa"/>
              <w:right w:w="90" w:type="dxa"/>
            </w:tcMar>
          </w:tcPr>
          <w:p>
            <w:pPr>
              <w:spacing w:before="0" w:after="0" w:line="252" w:lineRule="auto"/>
            </w:pPr>
            <w:r>
              <w:rPr>
                <w:rFonts w:ascii="Calibri" w:hAnsi="Calibri"/>
                <w:sz w:val="19"/>
              </w:rPr>
              <w:t>You are never alone with students</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03  </w:t>
      </w:r>
      <w:r>
        <w:rPr/>
        <w:t>Folder guide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690"/>
        <w:gridCol w:w="7102"/>
      </w:tblGrid>
      <w:tr>
        <w:trPr>
          <w:tblHeader/>
          <w:cantSplit/>
        </w:trPr>
        <w:tc>
          <w:tcPr>
            <w:tcW w:type="dxa" w:w="2690"/>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FOLDER</w:t>
            </w:r>
          </w:p>
        </w:tc>
        <w:tc>
          <w:tcPr>
            <w:tcW w:type="dxa" w:w="710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IS INSIDE</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01_K-2, 02_3-5, 03_6-8, 04_9-12</w:t>
            </w:r>
          </w:p>
        </w:tc>
        <w:tc>
          <w:tcPr>
            <w:tcW w:type="dxa" w:w="7102"/>
            <w:tcMar>
              <w:top w:w="50" w:type="dxa"/>
              <w:left w:w="90" w:type="dxa"/>
              <w:bottom w:w="60" w:type="dxa"/>
              <w:right w:w="90" w:type="dxa"/>
            </w:tcMar>
          </w:tcPr>
          <w:p>
            <w:pPr>
              <w:spacing w:before="0" w:after="0" w:line="252" w:lineRule="auto"/>
            </w:pPr>
            <w:r>
              <w:rPr>
                <w:rFonts w:ascii="Calibri" w:hAnsi="Calibri"/>
                <w:sz w:val="19"/>
              </w:rPr>
              <w:t xml:space="preserve">For each band: Teacher Guide, Student Activity Book or Workbook, Reproducibles (cards), and a Teacher Answer Key (kept in </w:t>
            </w:r>
            <w:r>
              <w:rPr>
                <w:rFonts w:ascii="Consolas" w:hAnsi="Consolas"/>
                <w:color w:val="A8400A"/>
                <w:sz w:val="19"/>
              </w:rPr>
              <w:t>TEACHERS_ONLY</w:t>
            </w:r>
            <w:r>
              <w:rPr>
                <w:rFonts w:ascii="Calibri" w:hAnsi="Calibri"/>
                <w:sz w:val="19"/>
              </w:rPr>
              <w:t xml:space="preserve"> in the downloads). 6-8 and 9-12 include the Plus lessons.</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05_Teacher_Support</w:t>
            </w:r>
          </w:p>
        </w:tc>
        <w:tc>
          <w:tcPr>
            <w:tcW w:type="dxa" w:w="7102"/>
            <w:tcMar>
              <w:top w:w="50" w:type="dxa"/>
              <w:left w:w="90" w:type="dxa"/>
              <w:bottom w:w="60" w:type="dxa"/>
              <w:right w:w="90" w:type="dxa"/>
            </w:tcMar>
          </w:tcPr>
          <w:p>
            <w:pPr>
              <w:spacing w:before="0" w:after="0" w:line="252" w:lineRule="auto"/>
            </w:pPr>
            <w:r>
              <w:rPr>
                <w:rFonts w:ascii="Calibri" w:hAnsi="Calibri"/>
                <w:sz w:val="19"/>
              </w:rPr>
              <w:t>Teacher Primer, Disclosure and Incident Guide, Counselor Heads-Up and Opt-Out Toolkit, Inclusion and Equity Guide, a 25-question FAQ.</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06_Family</w:t>
            </w:r>
          </w:p>
        </w:tc>
        <w:tc>
          <w:tcPr>
            <w:tcW w:type="dxa" w:w="7102"/>
            <w:tcMar>
              <w:top w:w="50" w:type="dxa"/>
              <w:left w:w="90" w:type="dxa"/>
              <w:bottom w:w="60" w:type="dxa"/>
              <w:right w:w="90" w:type="dxa"/>
            </w:tcMar>
          </w:tcPr>
          <w:p>
            <w:pPr>
              <w:spacing w:before="0" w:after="0" w:line="252" w:lineRule="auto"/>
            </w:pPr>
            <w:r>
              <w:rPr>
                <w:rFonts w:ascii="Calibri" w:hAnsi="Calibri"/>
                <w:sz w:val="19"/>
              </w:rPr>
              <w:t>Letters, conversation starters, a family tech agreement, the family code word guide, glossary.</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07_Assessment</w:t>
            </w:r>
          </w:p>
        </w:tc>
        <w:tc>
          <w:tcPr>
            <w:tcW w:type="dxa" w:w="7102"/>
            <w:tcMar>
              <w:top w:w="50" w:type="dxa"/>
              <w:left w:w="90" w:type="dxa"/>
              <w:bottom w:w="60" w:type="dxa"/>
              <w:right w:w="90" w:type="dxa"/>
            </w:tcMar>
          </w:tcPr>
          <w:p>
            <w:pPr>
              <w:spacing w:before="0" w:after="0" w:line="252" w:lineRule="auto"/>
            </w:pPr>
            <w:r>
              <w:rPr>
                <w:rFonts w:ascii="Calibri" w:hAnsi="Calibri"/>
                <w:sz w:val="19"/>
              </w:rPr>
              <w:t>Paper pre/post surveys, rubrics, tally sheets, and the Hackles Day Kit.</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11_Teacher_Academy</w:t>
            </w:r>
          </w:p>
        </w:tc>
        <w:tc>
          <w:tcPr>
            <w:tcW w:type="dxa" w:w="7102"/>
            <w:tcMar>
              <w:top w:w="50" w:type="dxa"/>
              <w:left w:w="90" w:type="dxa"/>
              <w:bottom w:w="60" w:type="dxa"/>
              <w:right w:w="90" w:type="dxa"/>
            </w:tcMar>
          </w:tcPr>
          <w:p>
            <w:pPr>
              <w:spacing w:before="0" w:after="0" w:line="252" w:lineRule="auto"/>
            </w:pPr>
            <w:r>
              <w:rPr>
                <w:rFonts w:ascii="Calibri" w:hAnsi="Calibri"/>
                <w:sz w:val="19"/>
              </w:rPr>
              <w:t>Self-paced teacher training: eight modules, assessments, certificate and badges, FAQ.</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12_Facilitator_Kit</w:t>
            </w:r>
          </w:p>
        </w:tc>
        <w:tc>
          <w:tcPr>
            <w:tcW w:type="dxa" w:w="7102"/>
            <w:tcMar>
              <w:top w:w="50" w:type="dxa"/>
              <w:left w:w="90" w:type="dxa"/>
              <w:bottom w:w="60" w:type="dxa"/>
              <w:right w:w="90" w:type="dxa"/>
            </w:tcMar>
          </w:tcPr>
          <w:p>
            <w:pPr>
              <w:spacing w:before="0" w:after="0" w:line="252" w:lineRule="auto"/>
            </w:pPr>
            <w:r>
              <w:rPr>
                <w:rFonts w:ascii="Calibri" w:hAnsi="Calibri"/>
                <w:sz w:val="19"/>
              </w:rPr>
              <w:t>Run training for adults: workshops, ten micro-PD sessions, parent night script, coaching guide, principal checklist.</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13_Concepts_Lab</w:t>
            </w:r>
          </w:p>
        </w:tc>
        <w:tc>
          <w:tcPr>
            <w:tcW w:type="dxa" w:w="7102"/>
            <w:tcMar>
              <w:top w:w="50" w:type="dxa"/>
              <w:left w:w="90" w:type="dxa"/>
              <w:bottom w:w="60" w:type="dxa"/>
              <w:right w:w="90" w:type="dxa"/>
            </w:tcMar>
          </w:tcPr>
          <w:p>
            <w:pPr>
              <w:spacing w:before="0" w:after="0" w:line="252" w:lineRule="auto"/>
            </w:pPr>
            <w:r>
              <w:rPr>
                <w:rFonts w:ascii="Calibri" w:hAnsi="Calibri"/>
                <w:sz w:val="19"/>
              </w:rPr>
              <w:t>Fourteen unplugged demos that teach the ideas behind security. Defense only.</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14_Games_and_Fun</w:t>
            </w:r>
          </w:p>
        </w:tc>
        <w:tc>
          <w:tcPr>
            <w:tcW w:type="dxa" w:w="7102"/>
            <w:tcMar>
              <w:top w:w="50" w:type="dxa"/>
              <w:left w:w="90" w:type="dxa"/>
              <w:bottom w:w="60" w:type="dxa"/>
              <w:right w:w="90" w:type="dxa"/>
            </w:tcMar>
          </w:tcPr>
          <w:p>
            <w:pPr>
              <w:spacing w:before="0" w:after="0" w:line="252" w:lineRule="auto"/>
            </w:pPr>
            <w:r>
              <w:rPr>
                <w:rFonts w:ascii="Calibri" w:hAnsi="Calibri"/>
                <w:sz w:val="19"/>
              </w:rPr>
              <w:t>Card games, a cooperative board game, escape missions, read-alouds, songs, puppets, bingo, riddles, the Hackles Day plan.</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15_Coloring_and_Drawing</w:t>
            </w:r>
          </w:p>
        </w:tc>
        <w:tc>
          <w:tcPr>
            <w:tcW w:type="dxa" w:w="7102"/>
            <w:tcMar>
              <w:top w:w="50" w:type="dxa"/>
              <w:left w:w="90" w:type="dxa"/>
              <w:bottom w:w="60" w:type="dxa"/>
              <w:right w:w="90" w:type="dxa"/>
            </w:tcMar>
          </w:tcPr>
          <w:p>
            <w:pPr>
              <w:spacing w:before="0" w:after="0" w:line="252" w:lineRule="auto"/>
            </w:pPr>
            <w:r>
              <w:rPr>
                <w:rFonts w:ascii="Calibri" w:hAnsi="Calibri"/>
                <w:sz w:val="19"/>
              </w:rPr>
              <w:t>A 52-page coloring book and a 44-page activity and drawing book, as print-ready PDFs.</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17_Website</w:t>
            </w:r>
          </w:p>
        </w:tc>
        <w:tc>
          <w:tcPr>
            <w:tcW w:type="dxa" w:w="7102"/>
            <w:tcMar>
              <w:top w:w="50" w:type="dxa"/>
              <w:left w:w="90" w:type="dxa"/>
              <w:bottom w:w="60" w:type="dxa"/>
              <w:right w:w="90" w:type="dxa"/>
            </w:tcMar>
          </w:tcPr>
          <w:p>
            <w:pPr>
              <w:spacing w:before="0" w:after="0" w:line="252" w:lineRule="auto"/>
            </w:pPr>
            <w:r>
              <w:rPr>
                <w:rFonts w:ascii="Calibri" w:hAnsi="Calibri"/>
                <w:sz w:val="19"/>
              </w:rPr>
              <w:t>The public site, for anyone who wants to host the kit. Not needed to teach.</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18_Espanol</w:t>
            </w:r>
          </w:p>
        </w:tc>
        <w:tc>
          <w:tcPr>
            <w:tcW w:type="dxa" w:w="7102"/>
            <w:tcMar>
              <w:top w:w="50" w:type="dxa"/>
              <w:left w:w="90" w:type="dxa"/>
              <w:bottom w:w="60" w:type="dxa"/>
              <w:right w:w="90" w:type="dxa"/>
            </w:tcMar>
          </w:tcPr>
          <w:p>
            <w:pPr>
              <w:spacing w:before="0" w:after="0" w:line="252" w:lineRule="auto"/>
            </w:pPr>
            <w:r>
              <w:rPr>
                <w:rFonts w:ascii="Calibri" w:hAnsi="Calibri"/>
                <w:sz w:val="19"/>
              </w:rPr>
              <w:t>Spanish drafts of the family and student materials. They need native-speaker and counselor review.</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20_Florida</w:t>
            </w:r>
          </w:p>
        </w:tc>
        <w:tc>
          <w:tcPr>
            <w:tcW w:type="dxa" w:w="7102"/>
            <w:tcMar>
              <w:top w:w="50" w:type="dxa"/>
              <w:left w:w="90" w:type="dxa"/>
              <w:bottom w:w="60" w:type="dxa"/>
              <w:right w:w="90" w:type="dxa"/>
            </w:tcMar>
          </w:tcPr>
          <w:p>
            <w:pPr>
              <w:spacing w:before="0" w:after="0" w:line="252" w:lineRule="auto"/>
            </w:pPr>
            <w:r>
              <w:rPr>
                <w:rFonts w:ascii="Calibri" w:hAnsi="Calibri"/>
                <w:sz w:val="19"/>
              </w:rPr>
              <w:t>The Florida social-media instruction law (HB 379) and the state's student guide mapped to Hackles, with a district adoption guide. Not approved by the Florida Department of Education.</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23_State_Atlas</w:t>
            </w:r>
          </w:p>
        </w:tc>
        <w:tc>
          <w:tcPr>
            <w:tcW w:type="dxa" w:w="7102"/>
            <w:tcMar>
              <w:top w:w="50" w:type="dxa"/>
              <w:left w:w="90" w:type="dxa"/>
              <w:bottom w:w="60" w:type="dxa"/>
              <w:right w:w="90" w:type="dxa"/>
            </w:tcMar>
          </w:tcPr>
          <w:p>
            <w:pPr>
              <w:spacing w:before="0" w:after="0" w:line="252" w:lineRule="auto"/>
            </w:pPr>
            <w:r>
              <w:rPr>
                <w:rFonts w:ascii="Calibri" w:hAnsi="Calibri"/>
                <w:sz w:val="19"/>
              </w:rPr>
              <w:t>What each state requires for online-safety instruction, with sources and unknowns. Not legal advice.</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24_Lesson_Cards</w:t>
            </w:r>
          </w:p>
        </w:tc>
        <w:tc>
          <w:tcPr>
            <w:tcW w:type="dxa" w:w="7102"/>
            <w:tcMar>
              <w:top w:w="50" w:type="dxa"/>
              <w:left w:w="90" w:type="dxa"/>
              <w:bottom w:w="60" w:type="dxa"/>
              <w:right w:w="90" w:type="dxa"/>
            </w:tcMar>
          </w:tcPr>
          <w:p>
            <w:pPr>
              <w:spacing w:before="0" w:after="0" w:line="252" w:lineRule="auto"/>
            </w:pPr>
            <w:r>
              <w:rPr>
                <w:rFonts w:ascii="Calibri" w:hAnsi="Calibri"/>
                <w:sz w:val="19"/>
              </w:rPr>
              <w:t>One printed page per lesson (47), in English and Spanish drafts, with band booklets and pacing planners.</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25_Slides</w:t>
            </w:r>
          </w:p>
        </w:tc>
        <w:tc>
          <w:tcPr>
            <w:tcW w:type="dxa" w:w="7102"/>
            <w:tcMar>
              <w:top w:w="50" w:type="dxa"/>
              <w:left w:w="90" w:type="dxa"/>
              <w:bottom w:w="60" w:type="dxa"/>
              <w:right w:w="90" w:type="dxa"/>
            </w:tcMar>
          </w:tcPr>
          <w:p>
            <w:pPr>
              <w:spacing w:before="0" w:after="0" w:line="252" w:lineRule="auto"/>
            </w:pPr>
            <w:r>
              <w:rPr>
                <w:rFonts w:ascii="Calibri" w:hAnsi="Calibri"/>
                <w:sz w:val="19"/>
              </w:rPr>
              <w:t>A deck for every lesson: offline HTML and editable PowerPoint, with speaker notes.</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26_Lab</w:t>
            </w:r>
          </w:p>
        </w:tc>
        <w:tc>
          <w:tcPr>
            <w:tcW w:type="dxa" w:w="7102"/>
            <w:tcMar>
              <w:top w:w="50" w:type="dxa"/>
              <w:left w:w="90" w:type="dxa"/>
              <w:bottom w:w="60" w:type="dxa"/>
              <w:right w:w="90" w:type="dxa"/>
            </w:tcMar>
          </w:tcPr>
          <w:p>
            <w:pPr>
              <w:spacing w:before="0" w:after="0" w:line="252" w:lineRule="auto"/>
            </w:pPr>
            <w:r>
              <w:rPr>
                <w:rFonts w:ascii="Calibri" w:hAnsi="Calibri"/>
                <w:sz w:val="19"/>
              </w:rPr>
              <w:t>Six interactive classroom tools that run offline in any browser. No accounts, no data.</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27_Reader</w:t>
            </w:r>
          </w:p>
        </w:tc>
        <w:tc>
          <w:tcPr>
            <w:tcW w:type="dxa" w:w="7102"/>
            <w:tcMar>
              <w:top w:w="50" w:type="dxa"/>
              <w:left w:w="90" w:type="dxa"/>
              <w:bottom w:w="60" w:type="dxa"/>
              <w:right w:w="90" w:type="dxa"/>
            </w:tcMar>
          </w:tcPr>
          <w:p>
            <w:pPr>
              <w:spacing w:before="0" w:after="0" w:line="252" w:lineRule="auto"/>
            </w:pPr>
            <w:r>
              <w:rPr>
                <w:rFonts w:ascii="Calibri" w:hAnsi="Calibri"/>
                <w:sz w:val="19"/>
              </w:rPr>
              <w:t xml:space="preserve">The whole kit as an accessible, searchable website. Open </w:t>
            </w:r>
            <w:r>
              <w:rPr>
                <w:rFonts w:ascii="Consolas" w:hAnsi="Consolas"/>
                <w:color w:val="A8400A"/>
                <w:sz w:val="19"/>
              </w:rPr>
              <w:t>index.html</w:t>
            </w:r>
            <w:r>
              <w:rPr>
                <w:rFonts w:ascii="Calibri" w:hAnsi="Calibri"/>
                <w:sz w:val="19"/>
              </w:rPr>
              <w:t>.</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28_College</w:t>
            </w:r>
          </w:p>
        </w:tc>
        <w:tc>
          <w:tcPr>
            <w:tcW w:type="dxa" w:w="7102"/>
            <w:tcMar>
              <w:top w:w="50" w:type="dxa"/>
              <w:left w:w="90" w:type="dxa"/>
              <w:bottom w:w="60" w:type="dxa"/>
              <w:right w:w="90" w:type="dxa"/>
            </w:tcMar>
          </w:tcPr>
          <w:p>
            <w:pPr>
              <w:spacing w:before="0" w:after="0" w:line="252" w:lineRule="auto"/>
            </w:pPr>
            <w:r>
              <w:rPr>
                <w:rFonts w:ascii="Calibri" w:hAnsi="Calibri"/>
                <w:sz w:val="19"/>
              </w:rPr>
              <w:t>Teacher-prep course with LMS packages and a question bank; research toolkit; a six-session campus student module; the Hackles Mentors service-learning program.</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29_Admin</w:t>
            </w:r>
          </w:p>
        </w:tc>
        <w:tc>
          <w:tcPr>
            <w:tcW w:type="dxa" w:w="7102"/>
            <w:tcMar>
              <w:top w:w="50" w:type="dxa"/>
              <w:left w:w="90" w:type="dxa"/>
              <w:bottom w:w="60" w:type="dxa"/>
              <w:right w:w="90" w:type="dxa"/>
            </w:tcMar>
          </w:tcPr>
          <w:p>
            <w:pPr>
              <w:spacing w:before="0" w:after="0" w:line="252" w:lineRule="auto"/>
            </w:pPr>
            <w:r>
              <w:rPr>
                <w:rFonts w:ascii="Calibri" w:hAnsi="Calibri"/>
                <w:sz w:val="19"/>
              </w:rPr>
              <w:t>Procurement brief, privacy and accessibility statements, policy and board documents, crisis flowchart, IT checklist, checksums, implementation tracker.</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30_Clubs</w:t>
            </w:r>
          </w:p>
        </w:tc>
        <w:tc>
          <w:tcPr>
            <w:tcW w:type="dxa" w:w="7102"/>
            <w:tcMar>
              <w:top w:w="50" w:type="dxa"/>
              <w:left w:w="90" w:type="dxa"/>
              <w:bottom w:w="60" w:type="dxa"/>
              <w:right w:w="90" w:type="dxa"/>
            </w:tcMar>
          </w:tcPr>
          <w:p>
            <w:pPr>
              <w:spacing w:before="0" w:after="0" w:line="252" w:lineRule="auto"/>
            </w:pPr>
            <w:r>
              <w:rPr>
                <w:rFonts w:ascii="Calibri" w:hAnsi="Calibri"/>
                <w:sz w:val="19"/>
              </w:rPr>
              <w:t>Out-of-school edition: leader guides, three age tracks, family night, library toolkit, volunteer training.</w:t>
            </w:r>
          </w:p>
        </w:tc>
      </w:tr>
      <w:tr>
        <w:trPr>
          <w:cantSplit/>
        </w:trPr>
        <w:tc>
          <w:tcPr>
            <w:tcW w:type="dxa" w:w="2690"/>
            <w:tcMar>
              <w:top w:w="50" w:type="dxa"/>
              <w:left w:w="0" w:type="dxa"/>
              <w:bottom w:w="60" w:type="dxa"/>
              <w:right w:w="90" w:type="dxa"/>
            </w:tcMar>
          </w:tcPr>
          <w:p>
            <w:pPr>
              <w:spacing w:before="0" w:after="0" w:line="252" w:lineRule="auto"/>
            </w:pPr>
            <w:r>
              <w:rPr>
                <w:rFonts w:ascii="Calibri" w:hAnsi="Calibri"/>
                <w:b/>
                <w:sz w:val="19"/>
              </w:rPr>
              <w:t>Root</w:t>
            </w:r>
          </w:p>
        </w:tc>
        <w:tc>
          <w:tcPr>
            <w:tcW w:type="dxa" w:w="7102"/>
            <w:tcMar>
              <w:top w:w="50" w:type="dxa"/>
              <w:left w:w="90" w:type="dxa"/>
              <w:bottom w:w="60" w:type="dxa"/>
              <w:right w:w="90" w:type="dxa"/>
            </w:tcMar>
          </w:tcPr>
          <w:p>
            <w:pPr>
              <w:spacing w:before="0" w:after="0" w:line="252" w:lineRule="auto"/>
            </w:pPr>
            <w:r>
              <w:rPr>
                <w:rFonts w:ascii="Calibri" w:hAnsi="Calibri"/>
                <w:sz w:val="19"/>
              </w:rPr>
              <w:t xml:space="preserve">This index and </w:t>
            </w:r>
            <w:r>
              <w:rPr>
                <w:rFonts w:ascii="Consolas" w:hAnsi="Consolas"/>
                <w:color w:val="A8400A"/>
                <w:sz w:val="19"/>
              </w:rPr>
              <w:t>VERIFY_Checklist</w:t>
            </w:r>
            <w:r>
              <w:rPr>
                <w:rFonts w:ascii="Calibri" w:hAnsi="Calibri"/>
                <w:sz w:val="19"/>
              </w:rPr>
              <w:t>.</w:t>
            </w:r>
          </w:p>
        </w:tc>
      </w:tr>
    </w:tbl>
    <w:p>
      <w:pPr>
        <w:spacing w:before="0" w:after="0" w:line="160" w:lineRule="exact"/>
      </w:pPr>
      <w:r>
        <w:rPr>
          <w:sz w:val="2"/>
        </w:rPr>
      </w:r>
    </w:p>
    <w:p>
      <w:r>
        <w:rPr/>
        <w:t>Student-facing files carry the credit line and never promote any product. The art in this kit is placeholder art until an illustrator replaces it.</w:t>
      </w:r>
    </w:p>
    <w:p>
      <w:r>
        <w:rPr>
          <w:b/>
        </w:rPr>
        <w:t>Terms.</w:t>
      </w:r>
      <w:r>
        <w:rPr/>
        <w:t xml:space="preserve"> The </w:t>
      </w:r>
      <w:r>
        <w:rPr>
          <w:b/>
        </w:rPr>
        <w:t>Help Ladder</w:t>
      </w:r>
      <w:r>
        <w:rPr/>
        <w:t xml:space="preserve"> is the tool for "who do I tell, and what if they do not help?" (K-2 uses a picture version, "My Tell-Someone Team"). </w:t>
      </w:r>
      <w:r>
        <w:rPr>
          <w:b/>
        </w:rPr>
        <w:t>Hackles Day</w:t>
      </w:r>
      <w:r>
        <w:rPr/>
        <w:t xml:space="preserve"> is the school event. </w:t>
      </w:r>
      <w:r>
        <w:rPr>
          <w:b/>
        </w:rPr>
        <w:t>STOP · SAVE · TELL · REPORT</w:t>
      </w:r>
      <w:r>
        <w:rPr/>
        <w:t xml:space="preserve"> is the response drill for threats and image abuse in grades 6-12. SAVE means keep the words, usernames and links. Never screenshot, save or forward an intimate image of anyone under 18.</w:t>
      </w:r>
    </w:p>
    <w:p>
      <w:pPr>
        <w:pStyle w:val="Heading2"/>
        <w:pBdr>
          <w:top w:val="single" w:sz="18" w:space="6" w:color="FF8A3D"/>
        </w:pBdr>
        <w:spacing w:before="320"/>
      </w:pPr>
      <w:r>
        <w:rPr>
          <w:rFonts w:ascii="Courier New" w:hAnsi="Courier New"/>
          <w:b w:val="0"/>
          <w:color w:val="A8400A"/>
          <w:sz w:val="20"/>
        </w:rPr>
        <w:t xml:space="preserve">04  </w:t>
      </w:r>
      <w:r>
        <w:rPr/>
        <w:t>How to use the kit</w:t>
      </w:r>
    </w:p>
    <w:p>
      <w:pPr>
        <w:spacing w:before="0" w:after="60"/>
        <w:ind w:left="504" w:hanging="360"/>
      </w:pPr>
      <w:r>
        <w:rPr>
          <w:b/>
          <w:color w:val="2F6F73"/>
        </w:rPr>
        <w:t xml:space="preserve">1. </w:t>
      </w:r>
      <w:r>
        <w:rPr/>
        <w:t>Read the Teacher Primer (about 10 minutes).</w:t>
      </w:r>
    </w:p>
    <w:p>
      <w:pPr>
        <w:spacing w:before="0" w:after="60"/>
        <w:ind w:left="504" w:hanging="360"/>
      </w:pPr>
      <w:r>
        <w:rPr>
          <w:b/>
          <w:color w:val="2F6F73"/>
        </w:rPr>
        <w:t xml:space="preserve">2. </w:t>
      </w:r>
      <w:r>
        <w:rPr/>
        <w:t>Read the Disclosure and Incident Guide, and check your school's mandatory-reporting policy and your state's law.</w:t>
      </w:r>
    </w:p>
    <w:p>
      <w:pPr>
        <w:spacing w:before="0" w:after="60"/>
        <w:ind w:left="504" w:hanging="360"/>
      </w:pPr>
      <w:r>
        <w:rPr>
          <w:b/>
          <w:color w:val="2F6F73"/>
        </w:rPr>
        <w:t xml:space="preserve">3. </w:t>
      </w:r>
      <w:r>
        <w:rPr/>
        <w:t>Pick your band. Read the lesson card for Lesson 1 and, if you want more, the Teacher Guide's opening pages.</w:t>
      </w:r>
    </w:p>
    <w:p>
      <w:pPr>
        <w:spacing w:before="0" w:after="60"/>
        <w:ind w:left="504" w:hanging="360"/>
      </w:pPr>
      <w:r>
        <w:rPr>
          <w:b/>
          <w:color w:val="2F6F73"/>
        </w:rPr>
        <w:t xml:space="preserve">4. </w:t>
      </w:r>
      <w:r>
        <w:rPr/>
        <w:t>Tell your counselor before any sensitive lesson (body safety, sextortion, grooming, and the Plus lessons on trafficking and on mental health), and send the family letter. Do not teach Plus Lesson P1 (trafficking) until a trafficking-prevention specialist has reviewed it, or Plus Lesson P2 (mental health) until a counselor or clinician has.</w:t>
      </w:r>
    </w:p>
    <w:p>
      <w:pPr>
        <w:spacing w:before="0" w:after="60"/>
        <w:ind w:left="504" w:hanging="360"/>
      </w:pPr>
      <w:r>
        <w:rPr>
          <w:b/>
          <w:color w:val="2F6F73"/>
        </w:rPr>
        <w:t xml:space="preserve">5. </w:t>
      </w:r>
      <w:r>
        <w:rPr/>
        <w:t>Teach one lesson a week: hook, activity, discussion, takeaway. Print the reproducibles you need.</w:t>
      </w:r>
    </w:p>
    <w:p>
      <w:pPr>
        <w:spacing w:before="0" w:after="60"/>
        <w:ind w:left="504" w:hanging="360"/>
      </w:pPr>
      <w:r>
        <w:rPr>
          <w:b/>
          <w:color w:val="2F6F73"/>
        </w:rPr>
        <w:t xml:space="preserve">6. </w:t>
      </w:r>
      <w:r>
        <w:rPr/>
        <w:t>If you want to measure, run the paper pre/post and keep tallies to class counts, with no names. Check consent rules first.</w:t>
      </w:r>
    </w:p>
    <w:p>
      <w:pPr>
        <w:spacing w:before="0" w:after="60"/>
        <w:ind w:left="504" w:hanging="360"/>
      </w:pPr>
      <w:r>
        <w:rPr>
          <w:b/>
          <w:color w:val="2F6F73"/>
        </w:rPr>
        <w:t xml:space="preserve">7. </w:t>
      </w:r>
      <w:r>
        <w:rPr/>
        <w:t>Send home the family card and reply slip.</w:t>
      </w:r>
    </w:p>
    <w:p>
      <w:pPr>
        <w:spacing w:before="0" w:after="60"/>
        <w:ind w:left="504" w:hanging="360"/>
      </w:pPr>
      <w:r>
        <w:rPr>
          <w:b/>
          <w:color w:val="2F6F73"/>
        </w:rPr>
        <w:t xml:space="preserve">8. </w:t>
      </w:r>
      <w:r>
        <w:rPr/>
        <w:t>Celebrate with a Hackles Day if you like.</w:t>
      </w:r>
    </w:p>
    <w:p>
      <w:pPr>
        <w:spacing w:before="0" w:after="60"/>
        <w:ind w:left="504" w:hanging="360"/>
      </w:pPr>
      <w:r>
        <w:rPr>
          <w:b/>
          <w:color w:val="2F6F73"/>
        </w:rPr>
        <w:t xml:space="preserve">9. </w:t>
      </w:r>
      <w:r>
        <w:rPr/>
        <w:t>Tell us what to fix. [CONTACT: to be added]</w:t>
      </w:r>
    </w:p>
    <w:p>
      <w:pPr>
        <w:pStyle w:val="Heading2"/>
        <w:pBdr>
          <w:top w:val="single" w:sz="18" w:space="6" w:color="FF8A3D"/>
        </w:pBdr>
        <w:spacing w:before="320"/>
      </w:pPr>
      <w:r>
        <w:rPr>
          <w:rFonts w:ascii="Courier New" w:hAnsi="Courier New"/>
          <w:b w:val="0"/>
          <w:color w:val="A8400A"/>
          <w:sz w:val="20"/>
        </w:rPr>
        <w:t xml:space="preserve">05  </w:t>
      </w:r>
      <w:r>
        <w:rPr/>
        <w:t>A first week</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611"/>
        <w:gridCol w:w="1063"/>
        <w:gridCol w:w="7267"/>
        <w:gridCol w:w="851"/>
      </w:tblGrid>
      <w:tr>
        <w:trPr>
          <w:tblHeader/>
          <w:cantSplit/>
        </w:trPr>
        <w:tc>
          <w:tcPr>
            <w:tcW w:type="dxa" w:w="61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DAY</w:t>
            </w:r>
          </w:p>
        </w:tc>
        <w:tc>
          <w:tcPr>
            <w:tcW w:type="dxa" w:w="106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726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DO THIS</w:t>
            </w:r>
          </w:p>
        </w:tc>
        <w:tc>
          <w:tcPr>
            <w:tcW w:type="dxa" w:w="85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TIME</w:t>
            </w:r>
          </w:p>
        </w:tc>
      </w:tr>
      <w:tr>
        <w:trPr>
          <w:cantSplit/>
        </w:trPr>
        <w:tc>
          <w:tcPr>
            <w:tcW w:type="dxa" w:w="611"/>
            <w:tcMar>
              <w:top w:w="50" w:type="dxa"/>
              <w:left w:w="0" w:type="dxa"/>
              <w:bottom w:w="60" w:type="dxa"/>
              <w:right w:w="90" w:type="dxa"/>
            </w:tcMar>
          </w:tcPr>
          <w:p>
            <w:pPr>
              <w:spacing w:before="0" w:after="0" w:line="252" w:lineRule="auto"/>
            </w:pPr>
            <w:r>
              <w:rPr>
                <w:rFonts w:ascii="Calibri" w:hAnsi="Calibri"/>
                <w:sz w:val="19"/>
              </w:rPr>
              <w:t>Mon</w:t>
            </w:r>
          </w:p>
        </w:tc>
        <w:tc>
          <w:tcPr>
            <w:tcW w:type="dxa" w:w="1063"/>
            <w:tcMar>
              <w:top w:w="50" w:type="dxa"/>
              <w:left w:w="90" w:type="dxa"/>
              <w:bottom w:w="60" w:type="dxa"/>
              <w:right w:w="90" w:type="dxa"/>
            </w:tcMar>
          </w:tcPr>
          <w:p>
            <w:pPr>
              <w:spacing w:before="0" w:after="0" w:line="252" w:lineRule="auto"/>
            </w:pPr>
            <w:r>
              <w:rPr>
                <w:rFonts w:ascii="Calibri" w:hAnsi="Calibri"/>
                <w:sz w:val="19"/>
              </w:rPr>
              <w:t>Teacher</w:t>
            </w:r>
          </w:p>
        </w:tc>
        <w:tc>
          <w:tcPr>
            <w:tcW w:type="dxa" w:w="7267"/>
            <w:tcMar>
              <w:top w:w="50" w:type="dxa"/>
              <w:left w:w="90" w:type="dxa"/>
              <w:bottom w:w="60" w:type="dxa"/>
              <w:right w:w="90" w:type="dxa"/>
            </w:tcMar>
          </w:tcPr>
          <w:p>
            <w:pPr>
              <w:spacing w:before="0" w:after="0" w:line="252" w:lineRule="auto"/>
            </w:pPr>
            <w:r>
              <w:rPr>
                <w:rFonts w:ascii="Calibri" w:hAnsi="Calibri"/>
                <w:sz w:val="19"/>
              </w:rPr>
              <w:t>Read the Teacher Primer and the Disclosure and Incident Guide; check your reporting policy</w:t>
            </w:r>
          </w:p>
        </w:tc>
        <w:tc>
          <w:tcPr>
            <w:tcW w:type="dxa" w:w="851"/>
            <w:tcMar>
              <w:top w:w="50" w:type="dxa"/>
              <w:left w:w="90" w:type="dxa"/>
              <w:bottom w:w="60" w:type="dxa"/>
              <w:right w:w="90" w:type="dxa"/>
            </w:tcMar>
          </w:tcPr>
          <w:p>
            <w:pPr>
              <w:spacing w:before="0" w:after="0" w:line="252" w:lineRule="auto"/>
            </w:pPr>
            <w:r>
              <w:rPr>
                <w:rFonts w:ascii="Calibri" w:hAnsi="Calibri"/>
                <w:sz w:val="19"/>
              </w:rPr>
              <w:t>30 min</w:t>
            </w:r>
          </w:p>
        </w:tc>
      </w:tr>
      <w:tr>
        <w:trPr>
          <w:cantSplit/>
        </w:trPr>
        <w:tc>
          <w:tcPr>
            <w:tcW w:type="dxa" w:w="611"/>
            <w:tcMar>
              <w:top w:w="50" w:type="dxa"/>
              <w:left w:w="0" w:type="dxa"/>
              <w:bottom w:w="60" w:type="dxa"/>
              <w:right w:w="90" w:type="dxa"/>
            </w:tcMar>
          </w:tcPr>
          <w:p>
            <w:pPr>
              <w:spacing w:before="0" w:after="0" w:line="252" w:lineRule="auto"/>
            </w:pPr>
            <w:r>
              <w:rPr>
                <w:rFonts w:ascii="Calibri" w:hAnsi="Calibri"/>
                <w:sz w:val="19"/>
              </w:rPr>
              <w:t>Mon</w:t>
            </w:r>
          </w:p>
        </w:tc>
        <w:tc>
          <w:tcPr>
            <w:tcW w:type="dxa" w:w="1063"/>
            <w:tcMar>
              <w:top w:w="50" w:type="dxa"/>
              <w:left w:w="90" w:type="dxa"/>
              <w:bottom w:w="60" w:type="dxa"/>
              <w:right w:w="90" w:type="dxa"/>
            </w:tcMar>
          </w:tcPr>
          <w:p>
            <w:pPr>
              <w:spacing w:before="0" w:after="0" w:line="252" w:lineRule="auto"/>
            </w:pPr>
            <w:r>
              <w:rPr>
                <w:rFonts w:ascii="Calibri" w:hAnsi="Calibri"/>
                <w:sz w:val="19"/>
              </w:rPr>
              <w:t>Principal</w:t>
            </w:r>
          </w:p>
        </w:tc>
        <w:tc>
          <w:tcPr>
            <w:tcW w:type="dxa" w:w="7267"/>
            <w:tcMar>
              <w:top w:w="50" w:type="dxa"/>
              <w:left w:w="90" w:type="dxa"/>
              <w:bottom w:w="60" w:type="dxa"/>
              <w:right w:w="90" w:type="dxa"/>
            </w:tcMar>
          </w:tcPr>
          <w:p>
            <w:pPr>
              <w:spacing w:before="0" w:after="0" w:line="252" w:lineRule="auto"/>
            </w:pPr>
            <w:r>
              <w:rPr>
                <w:rFonts w:ascii="Calibri" w:hAnsi="Calibri"/>
                <w:sz w:val="19"/>
              </w:rPr>
              <w:t>Skim the Principal Implementation Checklist; pick a start date; tell the counselor</w:t>
            </w:r>
          </w:p>
        </w:tc>
        <w:tc>
          <w:tcPr>
            <w:tcW w:type="dxa" w:w="851"/>
            <w:tcMar>
              <w:top w:w="50" w:type="dxa"/>
              <w:left w:w="90" w:type="dxa"/>
              <w:bottom w:w="60" w:type="dxa"/>
              <w:right w:w="90" w:type="dxa"/>
            </w:tcMar>
          </w:tcPr>
          <w:p>
            <w:pPr>
              <w:spacing w:before="0" w:after="0" w:line="252" w:lineRule="auto"/>
            </w:pPr>
            <w:r>
              <w:rPr>
                <w:rFonts w:ascii="Calibri" w:hAnsi="Calibri"/>
                <w:sz w:val="19"/>
              </w:rPr>
              <w:t>20 min</w:t>
            </w:r>
          </w:p>
        </w:tc>
      </w:tr>
      <w:tr>
        <w:trPr>
          <w:cantSplit/>
        </w:trPr>
        <w:tc>
          <w:tcPr>
            <w:tcW w:type="dxa" w:w="611"/>
            <w:tcMar>
              <w:top w:w="50" w:type="dxa"/>
              <w:left w:w="0" w:type="dxa"/>
              <w:bottom w:w="60" w:type="dxa"/>
              <w:right w:w="90" w:type="dxa"/>
            </w:tcMar>
          </w:tcPr>
          <w:p>
            <w:pPr>
              <w:spacing w:before="0" w:after="0" w:line="252" w:lineRule="auto"/>
            </w:pPr>
            <w:r>
              <w:rPr>
                <w:rFonts w:ascii="Calibri" w:hAnsi="Calibri"/>
                <w:sz w:val="19"/>
              </w:rPr>
              <w:t>Tue</w:t>
            </w:r>
          </w:p>
        </w:tc>
        <w:tc>
          <w:tcPr>
            <w:tcW w:type="dxa" w:w="1063"/>
            <w:tcMar>
              <w:top w:w="50" w:type="dxa"/>
              <w:left w:w="90" w:type="dxa"/>
              <w:bottom w:w="60" w:type="dxa"/>
              <w:right w:w="90" w:type="dxa"/>
            </w:tcMar>
          </w:tcPr>
          <w:p>
            <w:pPr>
              <w:spacing w:before="0" w:after="0" w:line="252" w:lineRule="auto"/>
            </w:pPr>
            <w:r>
              <w:rPr>
                <w:rFonts w:ascii="Calibri" w:hAnsi="Calibri"/>
                <w:sz w:val="19"/>
              </w:rPr>
              <w:t>Teacher</w:t>
            </w:r>
          </w:p>
        </w:tc>
        <w:tc>
          <w:tcPr>
            <w:tcW w:type="dxa" w:w="7267"/>
            <w:tcMar>
              <w:top w:w="50" w:type="dxa"/>
              <w:left w:w="90" w:type="dxa"/>
              <w:bottom w:w="60" w:type="dxa"/>
              <w:right w:w="90" w:type="dxa"/>
            </w:tcMar>
          </w:tcPr>
          <w:p>
            <w:pPr>
              <w:spacing w:before="0" w:after="0" w:line="252" w:lineRule="auto"/>
            </w:pPr>
            <w:r>
              <w:rPr>
                <w:rFonts w:ascii="Calibri" w:hAnsi="Calibri"/>
                <w:sz w:val="19"/>
              </w:rPr>
              <w:t>Read the card for Lesson 1; print the reproducibles</w:t>
            </w:r>
          </w:p>
        </w:tc>
        <w:tc>
          <w:tcPr>
            <w:tcW w:type="dxa" w:w="851"/>
            <w:tcMar>
              <w:top w:w="50" w:type="dxa"/>
              <w:left w:w="90" w:type="dxa"/>
              <w:bottom w:w="60" w:type="dxa"/>
              <w:right w:w="90" w:type="dxa"/>
            </w:tcMar>
          </w:tcPr>
          <w:p>
            <w:pPr>
              <w:spacing w:before="0" w:after="0" w:line="252" w:lineRule="auto"/>
            </w:pPr>
            <w:r>
              <w:rPr>
                <w:rFonts w:ascii="Calibri" w:hAnsi="Calibri"/>
                <w:sz w:val="19"/>
              </w:rPr>
              <w:t>20 min</w:t>
            </w:r>
          </w:p>
        </w:tc>
      </w:tr>
      <w:tr>
        <w:trPr>
          <w:cantSplit/>
        </w:trPr>
        <w:tc>
          <w:tcPr>
            <w:tcW w:type="dxa" w:w="611"/>
            <w:tcMar>
              <w:top w:w="50" w:type="dxa"/>
              <w:left w:w="0" w:type="dxa"/>
              <w:bottom w:w="60" w:type="dxa"/>
              <w:right w:w="90" w:type="dxa"/>
            </w:tcMar>
          </w:tcPr>
          <w:p>
            <w:pPr>
              <w:spacing w:before="0" w:after="0" w:line="252" w:lineRule="auto"/>
            </w:pPr>
            <w:r>
              <w:rPr>
                <w:rFonts w:ascii="Calibri" w:hAnsi="Calibri"/>
                <w:sz w:val="19"/>
              </w:rPr>
              <w:t>Tue</w:t>
            </w:r>
          </w:p>
        </w:tc>
        <w:tc>
          <w:tcPr>
            <w:tcW w:type="dxa" w:w="1063"/>
            <w:tcMar>
              <w:top w:w="50" w:type="dxa"/>
              <w:left w:w="90" w:type="dxa"/>
              <w:bottom w:w="60" w:type="dxa"/>
              <w:right w:w="90" w:type="dxa"/>
            </w:tcMar>
          </w:tcPr>
          <w:p>
            <w:pPr>
              <w:spacing w:before="0" w:after="0" w:line="252" w:lineRule="auto"/>
            </w:pPr>
            <w:r>
              <w:rPr>
                <w:rFonts w:ascii="Calibri" w:hAnsi="Calibri"/>
                <w:sz w:val="19"/>
              </w:rPr>
              <w:t>Counselor</w:t>
            </w:r>
          </w:p>
        </w:tc>
        <w:tc>
          <w:tcPr>
            <w:tcW w:type="dxa" w:w="7267"/>
            <w:tcMar>
              <w:top w:w="50" w:type="dxa"/>
              <w:left w:w="90" w:type="dxa"/>
              <w:bottom w:w="60" w:type="dxa"/>
              <w:right w:w="90" w:type="dxa"/>
            </w:tcMar>
          </w:tcPr>
          <w:p>
            <w:pPr>
              <w:spacing w:before="0" w:after="0" w:line="252" w:lineRule="auto"/>
            </w:pPr>
            <w:r>
              <w:rPr>
                <w:rFonts w:ascii="Calibri" w:hAnsi="Calibri"/>
                <w:sz w:val="19"/>
              </w:rPr>
              <w:t>Read the Heads-Up and Opt-Out Toolkit; mark which lessons are sensitive and when they fall</w:t>
            </w:r>
          </w:p>
        </w:tc>
        <w:tc>
          <w:tcPr>
            <w:tcW w:type="dxa" w:w="851"/>
            <w:tcMar>
              <w:top w:w="50" w:type="dxa"/>
              <w:left w:w="90" w:type="dxa"/>
              <w:bottom w:w="60" w:type="dxa"/>
              <w:right w:w="90" w:type="dxa"/>
            </w:tcMar>
          </w:tcPr>
          <w:p>
            <w:pPr>
              <w:spacing w:before="0" w:after="0" w:line="252" w:lineRule="auto"/>
            </w:pPr>
            <w:r>
              <w:rPr>
                <w:rFonts w:ascii="Calibri" w:hAnsi="Calibri"/>
                <w:sz w:val="19"/>
              </w:rPr>
              <w:t>20 min</w:t>
            </w:r>
          </w:p>
        </w:tc>
      </w:tr>
      <w:tr>
        <w:trPr>
          <w:cantSplit/>
        </w:trPr>
        <w:tc>
          <w:tcPr>
            <w:tcW w:type="dxa" w:w="611"/>
            <w:tcMar>
              <w:top w:w="50" w:type="dxa"/>
              <w:left w:w="0" w:type="dxa"/>
              <w:bottom w:w="60" w:type="dxa"/>
              <w:right w:w="90" w:type="dxa"/>
            </w:tcMar>
          </w:tcPr>
          <w:p>
            <w:pPr>
              <w:spacing w:before="0" w:after="0" w:line="252" w:lineRule="auto"/>
            </w:pPr>
            <w:r>
              <w:rPr>
                <w:rFonts w:ascii="Calibri" w:hAnsi="Calibri"/>
                <w:sz w:val="19"/>
              </w:rPr>
              <w:t>Wed</w:t>
            </w:r>
          </w:p>
        </w:tc>
        <w:tc>
          <w:tcPr>
            <w:tcW w:type="dxa" w:w="1063"/>
            <w:tcMar>
              <w:top w:w="50" w:type="dxa"/>
              <w:left w:w="90" w:type="dxa"/>
              <w:bottom w:w="60" w:type="dxa"/>
              <w:right w:w="90" w:type="dxa"/>
            </w:tcMar>
          </w:tcPr>
          <w:p>
            <w:pPr>
              <w:spacing w:before="0" w:after="0" w:line="252" w:lineRule="auto"/>
            </w:pPr>
            <w:r>
              <w:rPr>
                <w:rFonts w:ascii="Calibri" w:hAnsi="Calibri"/>
                <w:sz w:val="19"/>
              </w:rPr>
              <w:t>Teacher</w:t>
            </w:r>
          </w:p>
        </w:tc>
        <w:tc>
          <w:tcPr>
            <w:tcW w:type="dxa" w:w="7267"/>
            <w:tcMar>
              <w:top w:w="50" w:type="dxa"/>
              <w:left w:w="90" w:type="dxa"/>
              <w:bottom w:w="60" w:type="dxa"/>
              <w:right w:w="90" w:type="dxa"/>
            </w:tcMar>
          </w:tcPr>
          <w:p>
            <w:pPr>
              <w:spacing w:before="0" w:after="0" w:line="252" w:lineRule="auto"/>
            </w:pPr>
            <w:r>
              <w:rPr>
                <w:rFonts w:ascii="Calibri" w:hAnsi="Calibri"/>
                <w:sz w:val="19"/>
              </w:rPr>
              <w:t>Send the family letter; if you will measure, check consent rules before printing the pre-survey</w:t>
            </w:r>
          </w:p>
        </w:tc>
        <w:tc>
          <w:tcPr>
            <w:tcW w:type="dxa" w:w="851"/>
            <w:tcMar>
              <w:top w:w="50" w:type="dxa"/>
              <w:left w:w="90" w:type="dxa"/>
              <w:bottom w:w="60" w:type="dxa"/>
              <w:right w:w="90" w:type="dxa"/>
            </w:tcMar>
          </w:tcPr>
          <w:p>
            <w:pPr>
              <w:spacing w:before="0" w:after="0" w:line="252" w:lineRule="auto"/>
            </w:pPr>
            <w:r>
              <w:rPr>
                <w:rFonts w:ascii="Calibri" w:hAnsi="Calibri"/>
                <w:sz w:val="19"/>
              </w:rPr>
              <w:t>15 min</w:t>
            </w:r>
          </w:p>
        </w:tc>
      </w:tr>
      <w:tr>
        <w:trPr>
          <w:cantSplit/>
        </w:trPr>
        <w:tc>
          <w:tcPr>
            <w:tcW w:type="dxa" w:w="611"/>
            <w:tcMar>
              <w:top w:w="50" w:type="dxa"/>
              <w:left w:w="0" w:type="dxa"/>
              <w:bottom w:w="60" w:type="dxa"/>
              <w:right w:w="90" w:type="dxa"/>
            </w:tcMar>
          </w:tcPr>
          <w:p>
            <w:pPr>
              <w:spacing w:before="0" w:after="0" w:line="252" w:lineRule="auto"/>
            </w:pPr>
            <w:r>
              <w:rPr>
                <w:rFonts w:ascii="Calibri" w:hAnsi="Calibri"/>
                <w:sz w:val="19"/>
              </w:rPr>
              <w:t>Thu</w:t>
            </w:r>
          </w:p>
        </w:tc>
        <w:tc>
          <w:tcPr>
            <w:tcW w:type="dxa" w:w="1063"/>
            <w:tcMar>
              <w:top w:w="50" w:type="dxa"/>
              <w:left w:w="90" w:type="dxa"/>
              <w:bottom w:w="60" w:type="dxa"/>
              <w:right w:w="90" w:type="dxa"/>
            </w:tcMar>
          </w:tcPr>
          <w:p>
            <w:pPr>
              <w:spacing w:before="0" w:after="0" w:line="252" w:lineRule="auto"/>
            </w:pPr>
            <w:r>
              <w:rPr>
                <w:rFonts w:ascii="Calibri" w:hAnsi="Calibri"/>
                <w:sz w:val="19"/>
              </w:rPr>
              <w:t>Teacher</w:t>
            </w:r>
          </w:p>
        </w:tc>
        <w:tc>
          <w:tcPr>
            <w:tcW w:type="dxa" w:w="7267"/>
            <w:tcMar>
              <w:top w:w="50" w:type="dxa"/>
              <w:left w:w="90" w:type="dxa"/>
              <w:bottom w:w="60" w:type="dxa"/>
              <w:right w:w="90" w:type="dxa"/>
            </w:tcMar>
          </w:tcPr>
          <w:p>
            <w:pPr>
              <w:spacing w:before="0" w:after="0" w:line="252" w:lineRule="auto"/>
            </w:pPr>
            <w:r>
              <w:rPr>
                <w:rFonts w:ascii="Calibri" w:hAnsi="Calibri"/>
                <w:sz w:val="19"/>
              </w:rPr>
              <w:t>Teach Lesson 1 (the Help Ladder; in K-2, My Tell-Someone Team)</w:t>
            </w:r>
          </w:p>
        </w:tc>
        <w:tc>
          <w:tcPr>
            <w:tcW w:type="dxa" w:w="851"/>
            <w:tcMar>
              <w:top w:w="50" w:type="dxa"/>
              <w:left w:w="90" w:type="dxa"/>
              <w:bottom w:w="60" w:type="dxa"/>
              <w:right w:w="90" w:type="dxa"/>
            </w:tcMar>
          </w:tcPr>
          <w:p>
            <w:pPr>
              <w:spacing w:before="0" w:after="0" w:line="252" w:lineRule="auto"/>
            </w:pPr>
            <w:r>
              <w:rPr>
                <w:rFonts w:ascii="Calibri" w:hAnsi="Calibri"/>
                <w:sz w:val="19"/>
              </w:rPr>
              <w:t>15 min</w:t>
            </w:r>
          </w:p>
        </w:tc>
      </w:tr>
      <w:tr>
        <w:trPr>
          <w:cantSplit/>
        </w:trPr>
        <w:tc>
          <w:tcPr>
            <w:tcW w:type="dxa" w:w="611"/>
            <w:tcMar>
              <w:top w:w="50" w:type="dxa"/>
              <w:left w:w="0" w:type="dxa"/>
              <w:bottom w:w="60" w:type="dxa"/>
              <w:right w:w="90" w:type="dxa"/>
            </w:tcMar>
          </w:tcPr>
          <w:p>
            <w:pPr>
              <w:spacing w:before="0" w:after="0" w:line="252" w:lineRule="auto"/>
            </w:pPr>
            <w:r>
              <w:rPr>
                <w:rFonts w:ascii="Calibri" w:hAnsi="Calibri"/>
                <w:sz w:val="19"/>
              </w:rPr>
              <w:t>Thu</w:t>
            </w:r>
          </w:p>
        </w:tc>
        <w:tc>
          <w:tcPr>
            <w:tcW w:type="dxa" w:w="1063"/>
            <w:tcMar>
              <w:top w:w="50" w:type="dxa"/>
              <w:left w:w="90" w:type="dxa"/>
              <w:bottom w:w="60" w:type="dxa"/>
              <w:right w:w="90" w:type="dxa"/>
            </w:tcMar>
          </w:tcPr>
          <w:p>
            <w:pPr>
              <w:spacing w:before="0" w:after="0" w:line="252" w:lineRule="auto"/>
            </w:pPr>
            <w:r>
              <w:rPr>
                <w:rFonts w:ascii="Calibri" w:hAnsi="Calibri"/>
                <w:sz w:val="19"/>
              </w:rPr>
              <w:t>Teacher</w:t>
            </w:r>
          </w:p>
        </w:tc>
        <w:tc>
          <w:tcPr>
            <w:tcW w:type="dxa" w:w="7267"/>
            <w:tcMar>
              <w:top w:w="50" w:type="dxa"/>
              <w:left w:w="90" w:type="dxa"/>
              <w:bottom w:w="60" w:type="dxa"/>
              <w:right w:w="90" w:type="dxa"/>
            </w:tcMar>
          </w:tcPr>
          <w:p>
            <w:pPr>
              <w:spacing w:before="0" w:after="0" w:line="252" w:lineRule="auto"/>
            </w:pPr>
            <w:r>
              <w:rPr>
                <w:rFonts w:ascii="Calibri" w:hAnsi="Calibri"/>
                <w:sz w:val="19"/>
              </w:rPr>
              <w:t>Read the exit tickets the same day and follow up privately on any worrying note</w:t>
            </w:r>
          </w:p>
        </w:tc>
        <w:tc>
          <w:tcPr>
            <w:tcW w:type="dxa" w:w="851"/>
            <w:tcMar>
              <w:top w:w="50" w:type="dxa"/>
              <w:left w:w="90" w:type="dxa"/>
              <w:bottom w:w="60" w:type="dxa"/>
              <w:right w:w="90" w:type="dxa"/>
            </w:tcMar>
          </w:tcPr>
          <w:p>
            <w:pPr>
              <w:spacing w:before="0" w:after="0" w:line="252" w:lineRule="auto"/>
            </w:pPr>
            <w:r>
              <w:rPr>
                <w:rFonts w:ascii="Calibri" w:hAnsi="Calibri"/>
                <w:sz w:val="19"/>
              </w:rPr>
              <w:t>10 min</w:t>
            </w:r>
          </w:p>
        </w:tc>
      </w:tr>
      <w:tr>
        <w:trPr>
          <w:cantSplit/>
        </w:trPr>
        <w:tc>
          <w:tcPr>
            <w:tcW w:type="dxa" w:w="611"/>
            <w:tcMar>
              <w:top w:w="50" w:type="dxa"/>
              <w:left w:w="0" w:type="dxa"/>
              <w:bottom w:w="60" w:type="dxa"/>
              <w:right w:w="90" w:type="dxa"/>
            </w:tcMar>
          </w:tcPr>
          <w:p>
            <w:pPr>
              <w:spacing w:before="0" w:after="0" w:line="252" w:lineRule="auto"/>
            </w:pPr>
            <w:r>
              <w:rPr>
                <w:rFonts w:ascii="Calibri" w:hAnsi="Calibri"/>
                <w:sz w:val="19"/>
              </w:rPr>
              <w:t>Fri</w:t>
            </w:r>
          </w:p>
        </w:tc>
        <w:tc>
          <w:tcPr>
            <w:tcW w:type="dxa" w:w="1063"/>
            <w:tcMar>
              <w:top w:w="50" w:type="dxa"/>
              <w:left w:w="90" w:type="dxa"/>
              <w:bottom w:w="60" w:type="dxa"/>
              <w:right w:w="90" w:type="dxa"/>
            </w:tcMar>
          </w:tcPr>
          <w:p>
            <w:pPr>
              <w:spacing w:before="0" w:after="0" w:line="252" w:lineRule="auto"/>
            </w:pPr>
            <w:r>
              <w:rPr>
                <w:rFonts w:ascii="Calibri" w:hAnsi="Calibri"/>
                <w:sz w:val="19"/>
              </w:rPr>
              <w:t>Teacher</w:t>
            </w:r>
          </w:p>
        </w:tc>
        <w:tc>
          <w:tcPr>
            <w:tcW w:type="dxa" w:w="7267"/>
            <w:tcMar>
              <w:top w:w="50" w:type="dxa"/>
              <w:left w:w="90" w:type="dxa"/>
              <w:bottom w:w="60" w:type="dxa"/>
              <w:right w:w="90" w:type="dxa"/>
            </w:tcMar>
          </w:tcPr>
          <w:p>
            <w:pPr>
              <w:spacing w:before="0" w:after="0" w:line="252" w:lineRule="auto"/>
            </w:pPr>
            <w:r>
              <w:rPr>
                <w:rFonts w:ascii="Calibri" w:hAnsi="Calibri"/>
                <w:sz w:val="19"/>
              </w:rPr>
              <w:t>Send the family take-home card; add one 5-minute game or chant</w:t>
            </w:r>
          </w:p>
        </w:tc>
        <w:tc>
          <w:tcPr>
            <w:tcW w:type="dxa" w:w="851"/>
            <w:tcMar>
              <w:top w:w="50" w:type="dxa"/>
              <w:left w:w="90" w:type="dxa"/>
              <w:bottom w:w="60" w:type="dxa"/>
              <w:right w:w="90" w:type="dxa"/>
            </w:tcMar>
          </w:tcPr>
          <w:p>
            <w:pPr>
              <w:spacing w:before="0" w:after="0" w:line="252" w:lineRule="auto"/>
            </w:pPr>
            <w:r>
              <w:rPr>
                <w:rFonts w:ascii="Calibri" w:hAnsi="Calibri"/>
                <w:sz w:val="19"/>
              </w:rPr>
              <w:t>5 min</w:t>
            </w:r>
          </w:p>
        </w:tc>
      </w:tr>
    </w:tbl>
    <w:p>
      <w:pPr>
        <w:spacing w:before="0" w:after="0" w:line="160" w:lineRule="exact"/>
      </w:pPr>
      <w:r>
        <w:rPr>
          <w:sz w:val="2"/>
        </w:rPr>
      </w:r>
    </w:p>
    <w:p>
      <w:pPr>
        <w:pStyle w:val="Heading2"/>
        <w:pBdr>
          <w:top w:val="single" w:sz="18" w:space="6" w:color="FF8A3D"/>
        </w:pBdr>
        <w:spacing w:before="320"/>
      </w:pPr>
      <w:r>
        <w:rPr>
          <w:rFonts w:ascii="Courier New" w:hAnsi="Courier New"/>
          <w:b w:val="0"/>
          <w:color w:val="A8400A"/>
          <w:sz w:val="20"/>
        </w:rPr>
        <w:t xml:space="preserve">06  </w:t>
      </w:r>
      <w:r>
        <w:rPr/>
        <w:t>Pacing</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158"/>
        <w:gridCol w:w="7634"/>
      </w:tblGrid>
      <w:tr>
        <w:trPr>
          <w:tblHeader/>
          <w:cantSplit/>
        </w:trPr>
        <w:tc>
          <w:tcPr>
            <w:tcW w:type="dxa" w:w="2158"/>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SETTING</w:t>
            </w:r>
          </w:p>
        </w:tc>
        <w:tc>
          <w:tcPr>
            <w:tcW w:type="dxa" w:w="763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PACE</w:t>
            </w:r>
          </w:p>
        </w:tc>
      </w:tr>
      <w:tr>
        <w:trPr>
          <w:cantSplit/>
        </w:trPr>
        <w:tc>
          <w:tcPr>
            <w:tcW w:type="dxa" w:w="2158"/>
            <w:tcMar>
              <w:top w:w="50" w:type="dxa"/>
              <w:left w:w="0" w:type="dxa"/>
              <w:bottom w:w="60" w:type="dxa"/>
              <w:right w:w="90" w:type="dxa"/>
            </w:tcMar>
          </w:tcPr>
          <w:p>
            <w:pPr>
              <w:spacing w:before="0" w:after="0" w:line="252" w:lineRule="auto"/>
            </w:pPr>
            <w:r>
              <w:rPr>
                <w:rFonts w:ascii="Calibri" w:hAnsi="Calibri"/>
                <w:sz w:val="19"/>
              </w:rPr>
              <w:t>Standard</w:t>
            </w:r>
          </w:p>
        </w:tc>
        <w:tc>
          <w:tcPr>
            <w:tcW w:type="dxa" w:w="7634"/>
            <w:tcMar>
              <w:top w:w="50" w:type="dxa"/>
              <w:left w:w="90" w:type="dxa"/>
              <w:bottom w:w="60" w:type="dxa"/>
              <w:right w:w="90" w:type="dxa"/>
            </w:tcMar>
          </w:tcPr>
          <w:p>
            <w:pPr>
              <w:spacing w:before="0" w:after="0" w:line="252" w:lineRule="auto"/>
            </w:pPr>
            <w:r>
              <w:rPr>
                <w:rFonts w:ascii="Calibri" w:hAnsi="Calibri"/>
                <w:sz w:val="19"/>
              </w:rPr>
              <w:t>One lesson a week for 10 weeks per band</w:t>
            </w:r>
          </w:p>
        </w:tc>
      </w:tr>
      <w:tr>
        <w:trPr>
          <w:cantSplit/>
        </w:trPr>
        <w:tc>
          <w:tcPr>
            <w:tcW w:type="dxa" w:w="2158"/>
            <w:tcMar>
              <w:top w:w="50" w:type="dxa"/>
              <w:left w:w="0" w:type="dxa"/>
              <w:bottom w:w="60" w:type="dxa"/>
              <w:right w:w="90" w:type="dxa"/>
            </w:tcMar>
          </w:tcPr>
          <w:p>
            <w:pPr>
              <w:spacing w:before="0" w:after="0" w:line="252" w:lineRule="auto"/>
            </w:pPr>
            <w:r>
              <w:rPr>
                <w:rFonts w:ascii="Calibri" w:hAnsi="Calibri"/>
                <w:sz w:val="19"/>
              </w:rPr>
              <w:t>Advisory or homeroom</w:t>
            </w:r>
          </w:p>
        </w:tc>
        <w:tc>
          <w:tcPr>
            <w:tcW w:type="dxa" w:w="7634"/>
            <w:tcMar>
              <w:top w:w="50" w:type="dxa"/>
              <w:left w:w="90" w:type="dxa"/>
              <w:bottom w:w="60" w:type="dxa"/>
              <w:right w:w="90" w:type="dxa"/>
            </w:tcMar>
          </w:tcPr>
          <w:p>
            <w:pPr>
              <w:spacing w:before="0" w:after="0" w:line="252" w:lineRule="auto"/>
            </w:pPr>
            <w:r>
              <w:rPr>
                <w:rFonts w:ascii="Calibri" w:hAnsi="Calibri"/>
                <w:sz w:val="19"/>
              </w:rPr>
              <w:t>15 minutes, two days a week (5 weeks)</w:t>
            </w:r>
          </w:p>
        </w:tc>
      </w:tr>
      <w:tr>
        <w:trPr>
          <w:cantSplit/>
        </w:trPr>
        <w:tc>
          <w:tcPr>
            <w:tcW w:type="dxa" w:w="2158"/>
            <w:tcMar>
              <w:top w:w="50" w:type="dxa"/>
              <w:left w:w="0" w:type="dxa"/>
              <w:bottom w:w="60" w:type="dxa"/>
              <w:right w:w="90" w:type="dxa"/>
            </w:tcMar>
          </w:tcPr>
          <w:p>
            <w:pPr>
              <w:spacing w:before="0" w:after="0" w:line="252" w:lineRule="auto"/>
            </w:pPr>
            <w:r>
              <w:rPr>
                <w:rFonts w:ascii="Calibri" w:hAnsi="Calibri"/>
                <w:sz w:val="19"/>
              </w:rPr>
              <w:t>Library or camp</w:t>
            </w:r>
          </w:p>
        </w:tc>
        <w:tc>
          <w:tcPr>
            <w:tcW w:type="dxa" w:w="7634"/>
            <w:tcMar>
              <w:top w:w="50" w:type="dxa"/>
              <w:left w:w="90" w:type="dxa"/>
              <w:bottom w:w="60" w:type="dxa"/>
              <w:right w:w="90" w:type="dxa"/>
            </w:tcMar>
          </w:tcPr>
          <w:p>
            <w:pPr>
              <w:spacing w:before="0" w:after="0" w:line="252" w:lineRule="auto"/>
            </w:pPr>
            <w:r>
              <w:rPr>
                <w:rFonts w:ascii="Calibri" w:hAnsi="Calibri"/>
                <w:sz w:val="19"/>
              </w:rPr>
              <w:t>Two or three lessons per session, or the Clubs edition</w:t>
            </w:r>
          </w:p>
        </w:tc>
      </w:tr>
      <w:tr>
        <w:trPr>
          <w:cantSplit/>
        </w:trPr>
        <w:tc>
          <w:tcPr>
            <w:tcW w:type="dxa" w:w="2158"/>
            <w:tcMar>
              <w:top w:w="50" w:type="dxa"/>
              <w:left w:w="0" w:type="dxa"/>
              <w:bottom w:w="60" w:type="dxa"/>
              <w:right w:w="90" w:type="dxa"/>
            </w:tcMar>
          </w:tcPr>
          <w:p>
            <w:pPr>
              <w:spacing w:before="0" w:after="0" w:line="252" w:lineRule="auto"/>
            </w:pPr>
            <w:r>
              <w:rPr>
                <w:rFonts w:ascii="Calibri" w:hAnsi="Calibri"/>
                <w:sz w:val="19"/>
              </w:rPr>
              <w:t>Event</w:t>
            </w:r>
          </w:p>
        </w:tc>
        <w:tc>
          <w:tcPr>
            <w:tcW w:type="dxa" w:w="7634"/>
            <w:tcMar>
              <w:top w:w="50" w:type="dxa"/>
              <w:left w:w="90" w:type="dxa"/>
              <w:bottom w:w="60" w:type="dxa"/>
              <w:right w:w="90" w:type="dxa"/>
            </w:tcMar>
          </w:tcPr>
          <w:p>
            <w:pPr>
              <w:spacing w:before="0" w:after="0" w:line="252" w:lineRule="auto"/>
            </w:pPr>
            <w:r>
              <w:rPr>
                <w:rFonts w:ascii="Calibri" w:hAnsi="Calibri"/>
                <w:sz w:val="19"/>
              </w:rPr>
              <w:t>A Hackles Day with stations</w:t>
            </w:r>
          </w:p>
        </w:tc>
      </w:tr>
      <w:tr>
        <w:trPr>
          <w:cantSplit/>
        </w:trPr>
        <w:tc>
          <w:tcPr>
            <w:tcW w:type="dxa" w:w="2158"/>
            <w:tcMar>
              <w:top w:w="50" w:type="dxa"/>
              <w:left w:w="0" w:type="dxa"/>
              <w:bottom w:w="60" w:type="dxa"/>
              <w:right w:w="90" w:type="dxa"/>
            </w:tcMar>
          </w:tcPr>
          <w:p>
            <w:pPr>
              <w:spacing w:before="0" w:after="0" w:line="252" w:lineRule="auto"/>
            </w:pPr>
            <w:r>
              <w:rPr>
                <w:rFonts w:ascii="Calibri" w:hAnsi="Calibri"/>
                <w:sz w:val="19"/>
              </w:rPr>
              <w:t>Sensitive lessons</w:t>
            </w:r>
          </w:p>
        </w:tc>
        <w:tc>
          <w:tcPr>
            <w:tcW w:type="dxa" w:w="7634"/>
            <w:tcMar>
              <w:top w:w="50" w:type="dxa"/>
              <w:left w:w="90" w:type="dxa"/>
              <w:bottom w:w="60" w:type="dxa"/>
              <w:right w:w="90" w:type="dxa"/>
            </w:tcMar>
          </w:tcPr>
          <w:p>
            <w:pPr>
              <w:spacing w:before="0" w:after="0" w:line="252" w:lineRule="auto"/>
            </w:pPr>
            <w:r>
              <w:rPr>
                <w:rFonts w:ascii="Calibri" w:hAnsi="Calibri"/>
                <w:sz w:val="19"/>
              </w:rPr>
              <w:t>After the counselor heads-up; allow opt-outs; avoid Fridays and the day before a holiday</w:t>
            </w:r>
          </w:p>
        </w:tc>
      </w:tr>
      <w:tr>
        <w:trPr>
          <w:cantSplit/>
        </w:trPr>
        <w:tc>
          <w:tcPr>
            <w:tcW w:type="dxa" w:w="2158"/>
            <w:tcMar>
              <w:top w:w="50" w:type="dxa"/>
              <w:left w:w="0" w:type="dxa"/>
              <w:bottom w:w="60" w:type="dxa"/>
              <w:right w:w="90" w:type="dxa"/>
            </w:tcMar>
          </w:tcPr>
          <w:p>
            <w:pPr>
              <w:spacing w:before="0" w:after="0" w:line="252" w:lineRule="auto"/>
            </w:pPr>
            <w:r>
              <w:rPr>
                <w:rFonts w:ascii="Calibri" w:hAnsi="Calibri"/>
                <w:sz w:val="19"/>
              </w:rPr>
              <w:t>Plus lessons</w:t>
            </w:r>
          </w:p>
        </w:tc>
        <w:tc>
          <w:tcPr>
            <w:tcW w:type="dxa" w:w="7634"/>
            <w:tcMar>
              <w:top w:w="50" w:type="dxa"/>
              <w:left w:w="90" w:type="dxa"/>
              <w:bottom w:w="60" w:type="dxa"/>
              <w:right w:w="90" w:type="dxa"/>
            </w:tcMar>
          </w:tcPr>
          <w:p>
            <w:pPr>
              <w:spacing w:before="0" w:after="0" w:line="252" w:lineRule="auto"/>
            </w:pPr>
            <w:r>
              <w:rPr>
                <w:rFonts w:ascii="Calibri" w:hAnsi="Calibri"/>
                <w:sz w:val="19"/>
              </w:rPr>
              <w:t xml:space="preserve">See each Teacher Guide's pacing guide and </w:t>
            </w:r>
            <w:r>
              <w:rPr>
                <w:rFonts w:ascii="Consolas" w:hAnsi="Consolas"/>
                <w:color w:val="A8400A"/>
                <w:sz w:val="19"/>
              </w:rPr>
              <w:t>20_Florida/Florida_HB379_Crosswalk</w:t>
            </w:r>
          </w:p>
        </w:tc>
      </w:tr>
    </w:tbl>
    <w:p>
      <w:pPr>
        <w:spacing w:before="0" w:after="0" w:line="160" w:lineRule="exact"/>
      </w:pPr>
      <w:r>
        <w:rPr>
          <w:sz w:val="2"/>
        </w:rPr>
      </w:r>
    </w:p>
    <w:p>
      <w:r>
        <w:rPr/>
        <w:t>Each Teacher Guide has its own pacing guide, and that one wins.</w:t>
      </w:r>
    </w:p>
    <w:p>
      <w:pPr>
        <w:pStyle w:val="Heading2"/>
        <w:pBdr>
          <w:top w:val="single" w:sz="18" w:space="6" w:color="FF8A3D"/>
        </w:pBdr>
        <w:spacing w:before="320"/>
      </w:pPr>
      <w:r>
        <w:rPr>
          <w:rFonts w:ascii="Courier New" w:hAnsi="Courier New"/>
          <w:b w:val="0"/>
          <w:color w:val="A8400A"/>
          <w:sz w:val="20"/>
        </w:rPr>
        <w:t xml:space="preserve">07  </w:t>
      </w:r>
      <w:r>
        <w:rPr/>
        <w:t>Release gates (summary)</w:t>
      </w:r>
    </w:p>
    <w:p>
      <w:r>
        <w:rPr/>
        <w:t>Before wide release: a school counselor reviews the sensitive lessons; a child-safety organization or clinician reviews them again; an attorney reviews the license, terms, privacy, trademark and liability; someone checks every hotline, URL, statistic and state-law statement against primary sources; and a small pilot (three to five classrooms per band) tests timing, fun and comprehension.</w:t>
      </w:r>
    </w:p>
    <w:p>
      <w:pPr>
        <w:pStyle w:val="Heading2"/>
        <w:pBdr>
          <w:top w:val="single" w:sz="18" w:space="6" w:color="FF8A3D"/>
        </w:pBdr>
        <w:spacing w:before="320"/>
      </w:pPr>
      <w:r>
        <w:rPr>
          <w:rFonts w:ascii="Courier New" w:hAnsi="Courier New"/>
          <w:b w:val="0"/>
          <w:color w:val="A8400A"/>
          <w:sz w:val="20"/>
        </w:rPr>
        <w:t xml:space="preserve">08  </w:t>
      </w:r>
      <w:r>
        <w:rPr/>
        <w:t>Rebuilding the files</w:t>
      </w:r>
    </w:p>
    <w:p>
      <w:r>
        <w:rPr/>
        <w:t xml:space="preserve">The Markdown files are the source of truth. The Word and PDF files are generated from them. The Reader, Slides and Lab are generated too. Instructions are in the project's top-level </w:t>
      </w:r>
      <w:r>
        <w:rPr>
          <w:rFonts w:ascii="Consolas" w:hAnsi="Consolas"/>
          <w:color w:val="A8400A"/>
        </w:rPr>
        <w:t>README.txt</w:t>
      </w:r>
      <w:r>
        <w:rPr/>
        <w:t>.</w:t>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KIT INDEX</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Kit Index</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