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Inclusion and Equity Guide</w:t>
      </w:r>
    </w:p>
    <w:p>
      <w:pPr>
        <w:spacing w:before="0" w:after="40"/>
      </w:pPr>
      <w:r>
        <w:rPr>
          <w:rFonts w:ascii="Georgia" w:hAnsi="Georgia"/>
          <w:b/>
          <w:i/>
          <w:color w:val="2F6F73"/>
          <w:sz w:val="32"/>
        </w:rPr>
        <w:t>Teacher Support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Teacher Support Pack, Document 4 of 5.</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Why this guide exists</w:t>
      </w:r>
    </w:p>
    <w:p>
      <w:r>
        <w:rPr/>
        <w:t xml:space="preserve">Every child in your room needs to hear the same thing: </w:t>
      </w:r>
      <w:r>
        <w:rPr>
          <w:b/>
        </w:rPr>
        <w:t>you are safe to ask for help, and nothing about who you are makes you a fair target for blame.</w:t>
      </w:r>
      <w:r>
        <w:rPr/>
        <w:t xml:space="preserve"> Your children come with different home languages, cultures, abilities, devices and life experiences. Nobody is asking you to water the lessons down. The aim is that every child can reach the same skills, "Hackles up? Pause. Check. Tell." and the Help Ladder, by a road that works for them.</w:t>
      </w:r>
    </w:p>
    <w:p>
      <w:r>
        <w:rPr/>
        <w:t>What follows are practical adjustments that take little prep. It doesn't replace your school's special education, language access or student support teams, and anything about legal obligations (for example IEP or Section 504 plans, language access, or anti-discrimination law) should be confirmed with your district. [VERIFY; consult counsel/policy]</w:t>
      </w:r>
    </w:p>
    <w:p>
      <w:pPr>
        <w:pStyle w:val="Heading2"/>
        <w:pBdr>
          <w:top w:val="single" w:sz="18" w:space="6" w:color="FF8A3D"/>
        </w:pBdr>
        <w:spacing w:before="320"/>
      </w:pPr>
      <w:r>
        <w:rPr>
          <w:rFonts w:ascii="Courier New" w:hAnsi="Courier New"/>
          <w:b w:val="0"/>
          <w:color w:val="A8400A"/>
          <w:sz w:val="20"/>
        </w:rPr>
        <w:t xml:space="preserve">02  </w:t>
      </w:r>
      <w:r>
        <w:rPr/>
        <w:t>Five principles for every lesson</w:t>
      </w:r>
    </w:p>
    <w:p>
      <w:pPr>
        <w:spacing w:before="0" w:after="60"/>
        <w:ind w:left="504" w:hanging="360"/>
      </w:pPr>
      <w:r>
        <w:rPr>
          <w:b/>
          <w:color w:val="2F6F73"/>
        </w:rPr>
        <w:t xml:space="preserve">1. </w:t>
      </w:r>
      <w:r>
        <w:rPr>
          <w:b/>
        </w:rPr>
        <w:t>Never assume what a child has at home.</w:t>
      </w:r>
      <w:r>
        <w:rPr/>
        <w:t xml:space="preserve"> Some children have their own phone and some have none, so teach behaviors that work either way, with a device or without.</w:t>
      </w:r>
    </w:p>
    <w:p>
      <w:pPr>
        <w:spacing w:before="0" w:after="60"/>
        <w:ind w:left="504" w:hanging="360"/>
      </w:pPr>
      <w:r>
        <w:rPr>
          <w:b/>
          <w:color w:val="2F6F73"/>
        </w:rPr>
        <w:t xml:space="preserve">2. </w:t>
      </w:r>
      <w:r>
        <w:rPr>
          <w:b/>
        </w:rPr>
        <w:t>Never assume who a child has at home.</w:t>
      </w:r>
      <w:r>
        <w:rPr/>
        <w:t xml:space="preserve"> Grandparents, foster families, one parent, two, other relatives: all of it happens. Say "a grown-up you trust" and skip "your parents."</w:t>
      </w:r>
    </w:p>
    <w:p>
      <w:pPr>
        <w:spacing w:before="0" w:after="60"/>
        <w:ind w:left="504" w:hanging="360"/>
      </w:pPr>
      <w:r>
        <w:rPr>
          <w:b/>
          <w:color w:val="2F6F73"/>
        </w:rPr>
        <w:t xml:space="preserve">3. </w:t>
      </w:r>
      <w:r>
        <w:rPr>
          <w:b/>
        </w:rPr>
        <w:t>Never blame.</w:t>
      </w:r>
      <w:r>
        <w:rPr/>
        <w:t xml:space="preserve"> Vulnerability is not a flaw, and you should never suggest that certain children are "asking for it" because of what they post, wear, or play. Never.</w:t>
      </w:r>
    </w:p>
    <w:p>
      <w:pPr>
        <w:spacing w:before="0" w:after="60"/>
        <w:ind w:left="504" w:hanging="360"/>
      </w:pPr>
      <w:r>
        <w:rPr>
          <w:b/>
          <w:color w:val="2F6F73"/>
        </w:rPr>
        <w:t xml:space="preserve">4. </w:t>
      </w:r>
      <w:r>
        <w:rPr>
          <w:b/>
        </w:rPr>
        <w:t>Offer more than one way to take part.</w:t>
      </w:r>
      <w:r>
        <w:rPr/>
        <w:t xml:space="preserve"> Speaking, drawing, writing, pointing, role-playing, passing.</w:t>
      </w:r>
    </w:p>
    <w:p>
      <w:pPr>
        <w:spacing w:before="0" w:after="60"/>
        <w:ind w:left="504" w:hanging="360"/>
      </w:pPr>
      <w:r>
        <w:rPr>
          <w:b/>
          <w:color w:val="2F6F73"/>
        </w:rPr>
        <w:t xml:space="preserve">5. </w:t>
      </w:r>
      <w:r>
        <w:rPr>
          <w:b/>
        </w:rPr>
        <w:t>Make telling easy.</w:t>
      </w:r>
      <w:r>
        <w:rPr/>
        <w:t xml:space="preserve"> Offer several trusted adults and several ways to tell, writing and drawing included, so that a child who can't say it out loud still has a door.</w:t>
      </w:r>
    </w:p>
    <w:p>
      <w:pPr>
        <w:pStyle w:val="Heading2"/>
        <w:pBdr>
          <w:top w:val="single" w:sz="18" w:space="6" w:color="FF8A3D"/>
        </w:pBdr>
        <w:spacing w:before="320"/>
      </w:pPr>
      <w:r>
        <w:rPr>
          <w:rFonts w:ascii="Courier New" w:hAnsi="Courier New"/>
          <w:b w:val="0"/>
          <w:color w:val="A8400A"/>
          <w:sz w:val="20"/>
        </w:rPr>
        <w:t xml:space="preserve">03  </w:t>
      </w:r>
      <w:r>
        <w:rPr/>
        <w:t>Cultural and family contexts</w:t>
      </w:r>
    </w:p>
    <w:p>
      <w:r>
        <w:rPr/>
        <w:t xml:space="preserve">Families hold different values about privacy, authority, shame, honor, gender, talking about bodies, and who is the right person to tell. Those differences are real and deserve respect. One thing doesn't move: </w:t>
      </w:r>
      <w:r>
        <w:rPr>
          <w:b/>
        </w:rPr>
        <w:t>a child who is being harmed must be able to get help.</w:t>
      </w:r>
    </w:p>
    <w:p>
      <w:pPr>
        <w:pStyle w:val="Heading3"/>
      </w:pPr>
      <w:r>
        <w:rPr/>
        <w:t>What to keep in mind</w:t>
      </w:r>
    </w:p>
    <w:p>
      <w:pPr>
        <w:pStyle w:val="ListBullet"/>
      </w:pPr>
      <w:r>
        <w:rPr>
          <w:b/>
        </w:rPr>
        <w:t>Shame and "family honor."</w:t>
      </w:r>
      <w:r>
        <w:rPr/>
        <w:t xml:space="preserve"> In some families and communities, problems are meant to stay private, and telling an outsider can feel like betrayal or can risk the child's standing. A child may fear being blamed or hurting the family's reputation. Name this gently: "Some families feel that problems stay inside the family. In this class, we also say that getting help is always okay."</w:t>
      </w:r>
    </w:p>
    <w:p>
      <w:pPr>
        <w:pStyle w:val="ListBullet"/>
      </w:pPr>
      <w:r>
        <w:rPr>
          <w:b/>
        </w:rPr>
        <w:t>Respect for adults and authority.</w:t>
      </w:r>
      <w:r>
        <w:rPr/>
        <w:t xml:space="preserve"> Some children are taught not to question adults or to avoid saying "no." Practice scripts that sound respectful: "I need to ask my mom first." "I'm not comfortable with that." "I'm going to check with my grown-up."</w:t>
      </w:r>
    </w:p>
    <w:p>
      <w:pPr>
        <w:pStyle w:val="ListBullet"/>
      </w:pPr>
      <w:r>
        <w:rPr>
          <w:b/>
        </w:rPr>
        <w:t>Different views on talking about bodies and relationships.</w:t>
      </w:r>
      <w:r>
        <w:rPr/>
        <w:t xml:space="preserve"> Some families prefer that these topics are discussed at home. Use the pre-notice letter, offer an opt-out path, and always make sure the safety message reaches the child in some form (see the Counselor Heads-Up and Opt-Out Toolkit).</w:t>
      </w:r>
    </w:p>
    <w:p>
      <w:pPr>
        <w:pStyle w:val="ListBullet"/>
      </w:pPr>
      <w:r>
        <w:rPr>
          <w:b/>
        </w:rPr>
        <w:t>Religion and faith practices.</w:t>
      </w:r>
      <w:r>
        <w:rPr/>
        <w:t xml:space="preserve"> Avoid assuming screens, music, images, or holidays mean the same thing for all families. Scenarios in the curriculum are neutral, and you can swap names and details to be inclusive.</w:t>
      </w:r>
    </w:p>
    <w:p>
      <w:pPr>
        <w:pStyle w:val="ListBullet"/>
      </w:pPr>
      <w:r>
        <w:rPr>
          <w:b/>
        </w:rPr>
        <w:t>Immigration and fear of authorities.</w:t>
      </w:r>
      <w:r>
        <w:rPr/>
        <w:t xml:space="preserve"> Some families fear contact with police, child protective services, or schools because of immigration status or past experiences. Never ask a child about immigration status. Do not make promises about what authorities will do. If a child fears this, say: "I hear that you are worried. My job is to make sure you are safe. I'll talk with the counselor about the best way to help." Consult your administrator and counsel on reporting duties. [VERIFY]</w:t>
      </w:r>
    </w:p>
    <w:p>
      <w:pPr>
        <w:pStyle w:val="ListBullet"/>
      </w:pPr>
      <w:r>
        <w:rPr>
          <w:b/>
        </w:rPr>
        <w:t>Gender and expectations.</w:t>
      </w:r>
      <w:r>
        <w:rPr/>
        <w:t xml:space="preserve"> Stereotypes can silence children. Boys may feel they cannot say they were targeted by sextortion or bullying. Girls may be blamed for images. LGBTQ+ children may fear being outed when they tell. Use inclusive language, keep messages the same for all genders, and avoid examples that assume a child's identity.</w:t>
      </w:r>
    </w:p>
    <w:p>
      <w:pPr>
        <w:pStyle w:val="ListBullet"/>
      </w:pPr>
      <w:r>
        <w:rPr>
          <w:b/>
        </w:rPr>
        <w:t>Names, language, and examples.</w:t>
      </w:r>
      <w:r>
        <w:rPr/>
        <w:t xml:space="preserve"> Mix names across cultures in role-plays. Avoid stereotypes in your scenarios.</w:t>
      </w:r>
    </w:p>
    <w:p>
      <w:pPr>
        <w:pStyle w:val="Heading3"/>
      </w:pPr>
      <w:r>
        <w:rPr/>
        <w:t>When a child is afraid of being "outed" or of their family's reaction</w:t>
      </w:r>
    </w:p>
    <w:p>
      <w:r>
        <w:rPr/>
        <w:t>Some children fear that telling will expose their identity, relationships or activities. You can't promise secrecy where reporting duties apply. You can say: "I will tell only the people who need to know, and I'll tell you who. I'll make sure your safety comes first." Bring in the counselor early. [Consult policy on parental notification.]</w:t>
      </w:r>
    </w:p>
    <w:p>
      <w:pPr>
        <w:pStyle w:val="Heading2"/>
        <w:pBdr>
          <w:top w:val="single" w:sz="18" w:space="6" w:color="FF8A3D"/>
        </w:pBdr>
        <w:spacing w:before="320"/>
      </w:pPr>
      <w:r>
        <w:rPr>
          <w:rFonts w:ascii="Courier New" w:hAnsi="Courier New"/>
          <w:b w:val="0"/>
          <w:color w:val="A8400A"/>
          <w:sz w:val="20"/>
        </w:rPr>
        <w:t xml:space="preserve">04  </w:t>
      </w:r>
      <w:r>
        <w:rPr/>
        <w:t>Students with disabilities</w:t>
      </w:r>
    </w:p>
    <w:p>
      <w:r>
        <w:rPr/>
        <w:t>Students with disabilities are targeted more often and believed less often. Teach and respond with extra care, working with the special education teacher, the case manager and the counselor, and following each student's IEP or 504 plan. [VERIFY with your special education team]</w:t>
      </w:r>
    </w:p>
    <w:p>
      <w:pPr>
        <w:pStyle w:val="Heading3"/>
      </w:pPr>
      <w:r>
        <w:rPr/>
        <w:t>Practical adjustments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52"/>
        <w:gridCol w:w="7540"/>
      </w:tblGrid>
      <w:tr>
        <w:trPr>
          <w:tblHeader/>
          <w:cantSplit/>
        </w:trPr>
        <w:tc>
          <w:tcPr>
            <w:tcW w:type="dxa" w:w="22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75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TRY</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Reading and writing differences</w:t>
            </w:r>
          </w:p>
        </w:tc>
        <w:tc>
          <w:tcPr>
            <w:tcW w:type="dxa" w:w="7540"/>
            <w:tcMar>
              <w:top w:w="50" w:type="dxa"/>
              <w:left w:w="90" w:type="dxa"/>
              <w:bottom w:w="60" w:type="dxa"/>
              <w:right w:w="90" w:type="dxa"/>
            </w:tcMar>
          </w:tcPr>
          <w:p>
            <w:pPr>
              <w:spacing w:before="0" w:after="0" w:line="252" w:lineRule="auto"/>
            </w:pPr>
            <w:r>
              <w:rPr>
                <w:rFonts w:ascii="Calibri" w:hAnsi="Calibri"/>
                <w:sz w:val="19"/>
              </w:rPr>
              <w:t>Read all text aloud. Use the K-2 picture-based formats. Allow drawing, speaking, or pointing for answers.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Attention and processing</w:t>
            </w:r>
          </w:p>
        </w:tc>
        <w:tc>
          <w:tcPr>
            <w:tcW w:type="dxa" w:w="7540"/>
            <w:tcMar>
              <w:top w:w="50" w:type="dxa"/>
              <w:left w:w="90" w:type="dxa"/>
              <w:bottom w:w="60" w:type="dxa"/>
              <w:right w:w="90" w:type="dxa"/>
            </w:tcMar>
          </w:tcPr>
          <w:p>
            <w:pPr>
              <w:spacing w:before="0" w:after="0" w:line="252" w:lineRule="auto"/>
            </w:pPr>
            <w:r>
              <w:rPr>
                <w:rFonts w:ascii="Calibri" w:hAnsi="Calibri"/>
                <w:sz w:val="19"/>
              </w:rPr>
              <w:t>Break lessons into shorter chunks. Give a visual checklist of Hackles up, Pause, Check, Tell. Allow movement breaks. Repeat key lines.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Autism and literal thinking</w:t>
            </w:r>
          </w:p>
        </w:tc>
        <w:tc>
          <w:tcPr>
            <w:tcW w:type="dxa" w:w="7540"/>
            <w:tcMar>
              <w:top w:w="50" w:type="dxa"/>
              <w:left w:w="90" w:type="dxa"/>
              <w:bottom w:w="60" w:type="dxa"/>
              <w:right w:w="90" w:type="dxa"/>
            </w:tcMar>
          </w:tcPr>
          <w:p>
            <w:pPr>
              <w:spacing w:before="0" w:after="0" w:line="252" w:lineRule="auto"/>
            </w:pPr>
            <w:r>
              <w:rPr>
                <w:rFonts w:ascii="Calibri" w:hAnsi="Calibri"/>
                <w:sz w:val="19"/>
              </w:rPr>
              <w:t>Use concrete examples. Avoid sarcasm. Spell out rules: "If someone asks for a picture, say 'no' and tell a grown-up." Use scripts and role-play with clear steps. Warn about the schedule and any role-play ahead of time.</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Intellectual disability</w:t>
            </w:r>
          </w:p>
        </w:tc>
        <w:tc>
          <w:tcPr>
            <w:tcW w:type="dxa" w:w="7540"/>
            <w:tcMar>
              <w:top w:w="50" w:type="dxa"/>
              <w:left w:w="90" w:type="dxa"/>
              <w:bottom w:w="60" w:type="dxa"/>
              <w:right w:w="90" w:type="dxa"/>
            </w:tcMar>
          </w:tcPr>
          <w:p>
            <w:pPr>
              <w:spacing w:before="0" w:after="0" w:line="252" w:lineRule="auto"/>
            </w:pPr>
            <w:r>
              <w:rPr>
                <w:rFonts w:ascii="Calibri" w:hAnsi="Calibri"/>
                <w:sz w:val="19"/>
              </w:rPr>
              <w:t>Use short, repeated, simple language and pictures. Practice the same three steps many times. Teach "Who are my safe people?" with photos.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Hearing impairment</w:t>
            </w:r>
          </w:p>
        </w:tc>
        <w:tc>
          <w:tcPr>
            <w:tcW w:type="dxa" w:w="7540"/>
            <w:tcMar>
              <w:top w:w="50" w:type="dxa"/>
              <w:left w:w="90" w:type="dxa"/>
              <w:bottom w:w="60" w:type="dxa"/>
              <w:right w:w="90" w:type="dxa"/>
            </w:tcMar>
          </w:tcPr>
          <w:p>
            <w:pPr>
              <w:spacing w:before="0" w:after="0" w:line="252" w:lineRule="auto"/>
            </w:pPr>
            <w:r>
              <w:rPr>
                <w:rFonts w:ascii="Calibri" w:hAnsi="Calibri"/>
                <w:sz w:val="19"/>
              </w:rPr>
              <w:t>Face the class, provide captions or a sign language interpreter as per the plan, use visuals.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Vision impairment</w:t>
            </w:r>
          </w:p>
        </w:tc>
        <w:tc>
          <w:tcPr>
            <w:tcW w:type="dxa" w:w="7540"/>
            <w:tcMar>
              <w:top w:w="50" w:type="dxa"/>
              <w:left w:w="90" w:type="dxa"/>
              <w:bottom w:w="60" w:type="dxa"/>
              <w:right w:w="90" w:type="dxa"/>
            </w:tcMar>
          </w:tcPr>
          <w:p>
            <w:pPr>
              <w:spacing w:before="0" w:after="0" w:line="252" w:lineRule="auto"/>
            </w:pPr>
            <w:r>
              <w:rPr>
                <w:rFonts w:ascii="Calibri" w:hAnsi="Calibri"/>
                <w:sz w:val="19"/>
              </w:rPr>
              <w:t>Describe visuals aloud, provide large print or braille where the plan requires, use tactile cards.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Physical disability or motor needs</w:t>
            </w:r>
          </w:p>
        </w:tc>
        <w:tc>
          <w:tcPr>
            <w:tcW w:type="dxa" w:w="7540"/>
            <w:tcMar>
              <w:top w:w="50" w:type="dxa"/>
              <w:left w:w="90" w:type="dxa"/>
              <w:bottom w:w="60" w:type="dxa"/>
              <w:right w:w="90" w:type="dxa"/>
            </w:tcMar>
          </w:tcPr>
          <w:p>
            <w:pPr>
              <w:spacing w:before="0" w:after="0" w:line="252" w:lineRule="auto"/>
            </w:pPr>
            <w:r>
              <w:rPr>
                <w:rFonts w:ascii="Calibri" w:hAnsi="Calibri"/>
                <w:sz w:val="19"/>
              </w:rPr>
              <w:t>Offer alternatives to cutting, sorting, or moving. Pair for card sorts.</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Anxiety or trauma history</w:t>
            </w:r>
          </w:p>
        </w:tc>
        <w:tc>
          <w:tcPr>
            <w:tcW w:type="dxa" w:w="7540"/>
            <w:tcMar>
              <w:top w:w="50" w:type="dxa"/>
              <w:left w:w="90" w:type="dxa"/>
              <w:bottom w:w="60" w:type="dxa"/>
              <w:right w:w="90" w:type="dxa"/>
            </w:tcMar>
          </w:tcPr>
          <w:p>
            <w:pPr>
              <w:spacing w:before="0" w:after="0" w:line="252" w:lineRule="auto"/>
            </w:pPr>
            <w:r>
              <w:rPr>
                <w:rFonts w:ascii="Calibri" w:hAnsi="Calibri"/>
                <w:sz w:val="19"/>
              </w:rPr>
              <w:t>See the trauma-informed section. Give advance notice and a choice to step out.</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b/>
                <w:sz w:val="19"/>
              </w:rPr>
              <w:t>Communication devices (AAC)</w:t>
            </w:r>
          </w:p>
        </w:tc>
        <w:tc>
          <w:tcPr>
            <w:tcW w:type="dxa" w:w="7540"/>
            <w:tcMar>
              <w:top w:w="50" w:type="dxa"/>
              <w:left w:w="90" w:type="dxa"/>
              <w:bottom w:w="60" w:type="dxa"/>
              <w:right w:w="90" w:type="dxa"/>
            </w:tcMar>
          </w:tcPr>
          <w:p>
            <w:pPr>
              <w:spacing w:before="0" w:after="0" w:line="252" w:lineRule="auto"/>
            </w:pPr>
            <w:r>
              <w:rPr>
                <w:rFonts w:ascii="Calibri" w:hAnsi="Calibri"/>
                <w:sz w:val="19"/>
              </w:rPr>
              <w:t>Add key words such as "help," "stop," "tell," "no," and "safe person" to the student's device. Ask the speech-language pathologist to help.</w:t>
            </w:r>
          </w:p>
        </w:tc>
      </w:tr>
    </w:tbl>
    <w:p>
      <w:pPr>
        <w:spacing w:before="0" w:after="0" w:line="160" w:lineRule="exact"/>
      </w:pPr>
      <w:r>
        <w:rPr>
          <w:sz w:val="2"/>
        </w:rPr>
      </w:r>
    </w:p>
    <w:p>
      <w:pPr>
        <w:pStyle w:val="Heading3"/>
      </w:pPr>
      <w:r>
        <w:rPr/>
        <w:t>Extra safety teaching points</w:t>
      </w:r>
    </w:p>
    <w:p>
      <w:pPr>
        <w:pStyle w:val="ListBullet"/>
      </w:pPr>
      <w:r>
        <w:rPr/>
        <w:t>Some students depend on caregivers and therapists for many daily needs. Teach: "Your body belongs to you. Nobody should ask for secret pictures or secrets, even people you trust."</w:t>
      </w:r>
    </w:p>
    <w:p>
      <w:pPr>
        <w:pStyle w:val="ListBullet"/>
      </w:pPr>
      <w:r>
        <w:rPr/>
        <w:t>Make sure the student knows several safe adults, and who to tell if the usual adult is the problem.</w:t>
      </w:r>
    </w:p>
    <w:p>
      <w:pPr>
        <w:pStyle w:val="ListBullet"/>
      </w:pPr>
      <w:r>
        <w:rPr/>
        <w:t>Be alert to behavior changes that may signal harm, remembering that some students communicate distress through behavior.</w:t>
      </w:r>
    </w:p>
    <w:p>
      <w:pPr>
        <w:pStyle w:val="ListBullet"/>
      </w:pPr>
      <w:r>
        <w:rPr/>
        <w:t>Do not assume a student with a disability cannot be a target or cannot understand. Teach and re-teach.</w:t>
      </w:r>
    </w:p>
    <w:p>
      <w:pPr>
        <w:pStyle w:val="Heading2"/>
        <w:pBdr>
          <w:top w:val="single" w:sz="18" w:space="6" w:color="FF8A3D"/>
        </w:pBdr>
        <w:spacing w:before="320"/>
      </w:pPr>
      <w:r>
        <w:rPr>
          <w:rFonts w:ascii="Courier New" w:hAnsi="Courier New"/>
          <w:b w:val="0"/>
          <w:color w:val="A8400A"/>
          <w:sz w:val="20"/>
        </w:rPr>
        <w:t xml:space="preserve">05  </w:t>
      </w:r>
      <w:r>
        <w:rPr/>
        <w:t>English learners and multilingual families</w:t>
      </w:r>
    </w:p>
    <w:p>
      <w:pPr>
        <w:pStyle w:val="Heading3"/>
      </w:pPr>
      <w:r>
        <w:rPr/>
        <w:t>In the classroom</w:t>
      </w:r>
    </w:p>
    <w:p>
      <w:pPr>
        <w:pStyle w:val="ListBullet"/>
      </w:pPr>
      <w:r>
        <w:rPr>
          <w:b/>
        </w:rPr>
        <w:t>Pre-teach key words</w:t>
      </w:r>
      <w:r>
        <w:rPr/>
        <w:t xml:space="preserve"> with pictures: password, private, share, block, report, trusted adult, safe, tell. Use the glossary in the Family Engagement Pack.</w:t>
      </w:r>
    </w:p>
    <w:p>
      <w:pPr>
        <w:pStyle w:val="ListBullet"/>
      </w:pPr>
      <w:r>
        <w:rPr>
          <w:b/>
        </w:rPr>
        <w:t>Use visuals and gestures.</w:t>
      </w:r>
      <w:r>
        <w:rPr/>
        <w:t xml:space="preserve"> The Hackles routine is designed to be carried by icons: a hand brushed up the neck (Hackles up), a hand (Pause), a magnifying glass (Check), a speech bubble (Tell).</w:t>
      </w:r>
    </w:p>
    <w:p>
      <w:pPr>
        <w:pStyle w:val="ListBullet"/>
      </w:pPr>
      <w:r>
        <w:rPr>
          <w:b/>
        </w:rPr>
        <w:t>Let students use their home language</w:t>
      </w:r>
      <w:r>
        <w:rPr/>
        <w:t xml:space="preserve"> to discuss and plan. Partners who share a language can talk before sharing in English.</w:t>
      </w:r>
    </w:p>
    <w:p>
      <w:pPr>
        <w:pStyle w:val="ListBullet"/>
      </w:pPr>
      <w:r>
        <w:rPr>
          <w:b/>
        </w:rPr>
        <w:t>Sentence frames</w:t>
      </w:r>
      <w:r>
        <w:rPr/>
        <w:t xml:space="preserve"> help: "I need help with ___." "Someone asked me to ___." "I feel ___." "I want to tell ___."</w:t>
      </w:r>
    </w:p>
    <w:p>
      <w:pPr>
        <w:pStyle w:val="ListBullet"/>
      </w:pPr>
      <w:r>
        <w:rPr>
          <w:b/>
        </w:rPr>
        <w:t>Avoid idioms</w:t>
      </w:r>
      <w:r>
        <w:rPr/>
        <w:t xml:space="preserve"> such as "hacked" and "catfished" without explaining them, or use plain words.</w:t>
      </w:r>
    </w:p>
    <w:p>
      <w:pPr>
        <w:pStyle w:val="ListBullet"/>
      </w:pPr>
      <w:r>
        <w:rPr>
          <w:b/>
        </w:rPr>
        <w:t>Check understanding</w:t>
      </w:r>
      <w:r>
        <w:rPr/>
        <w:t xml:space="preserve"> through actions, drawings, or yes/no questions rather than only open speech.</w:t>
      </w:r>
    </w:p>
    <w:p>
      <w:pPr>
        <w:pStyle w:val="Heading3"/>
      </w:pPr>
      <w:r>
        <w:rPr/>
        <w:t>With families</w:t>
      </w:r>
    </w:p>
    <w:p>
      <w:pPr>
        <w:pStyle w:val="ListBullet"/>
      </w:pPr>
      <w:r>
        <w:rPr/>
        <w:t>Send letters in the family's home language. Every family letter in this kit is written to be translation-ready (see the note in the Family Engagement Pack). Have a qualified translator, or a school language-access team, review all translations; avoid unreviewed machine translation for sensitive topics. [VERIFY your district's language access policy]</w:t>
      </w:r>
    </w:p>
    <w:p>
      <w:pPr>
        <w:pStyle w:val="ListBullet"/>
      </w:pPr>
      <w:r>
        <w:rPr/>
        <w:t>Offer a phone call or an interpreter for the sensitive-topic pre-notice.</w:t>
      </w:r>
    </w:p>
    <w:p>
      <w:pPr>
        <w:pStyle w:val="ListBullet"/>
      </w:pPr>
      <w:r>
        <w:rPr/>
        <w:t>Do not rely on children to interpret for their families about sensitive topics.</w:t>
      </w:r>
    </w:p>
    <w:p>
      <w:pPr>
        <w:pStyle w:val="ListBullet"/>
      </w:pPr>
      <w:r>
        <w:rPr/>
        <w:t>Many core ideas have no direct word in some languages (for example "sextortion" and "grooming"). Use descriptive phrases and check with a community liaison.</w:t>
      </w:r>
    </w:p>
    <w:p>
      <w:pPr>
        <w:pStyle w:val="Heading3"/>
      </w:pPr>
      <w:r>
        <w:rPr/>
        <w:t>With disclosures</w:t>
      </w:r>
    </w:p>
    <w:p>
      <w:pPr>
        <w:pStyle w:val="ListBullet"/>
      </w:pPr>
      <w:r>
        <w:rPr/>
        <w:t>Use a qualified interpreter, not a classmate or sibling, when a student is disclosing. Follow your district's process for interpreters in sensitive situations. [VERIFY]</w:t>
      </w:r>
    </w:p>
    <w:p>
      <w:pPr>
        <w:pStyle w:val="ListBullet"/>
      </w:pPr>
      <w:r>
        <w:rPr/>
        <w:t>Reassure that talking about problems is welcome, in any language.</w:t>
      </w:r>
    </w:p>
    <w:p>
      <w:pPr>
        <w:pStyle w:val="Heading2"/>
        <w:pBdr>
          <w:top w:val="single" w:sz="18" w:space="6" w:color="FF8A3D"/>
        </w:pBdr>
        <w:spacing w:before="320"/>
      </w:pPr>
      <w:r>
        <w:rPr>
          <w:rFonts w:ascii="Courier New" w:hAnsi="Courier New"/>
          <w:b w:val="0"/>
          <w:color w:val="A8400A"/>
          <w:sz w:val="20"/>
        </w:rPr>
        <w:t xml:space="preserve">06  </w:t>
      </w:r>
      <w:r>
        <w:rPr/>
        <w:t>Low-internet and no-device homes</w:t>
      </w:r>
    </w:p>
    <w:p>
      <w:r>
        <w:rPr/>
        <w:t xml:space="preserve">Some families have limited data, shared devices, or no internet, and some children only get a phone at the library or at a friend's house. This curriculum is </w:t>
      </w:r>
      <w:r>
        <w:rPr>
          <w:b/>
        </w:rPr>
        <w:t>unplugged-first</w:t>
      </w:r>
      <w:r>
        <w:rPr/>
        <w:t>. These habits keep it fair:</w:t>
      </w:r>
    </w:p>
    <w:p>
      <w:pPr>
        <w:pStyle w:val="ListBullet"/>
      </w:pPr>
      <w:r>
        <w:rPr>
          <w:b/>
        </w:rPr>
        <w:t>Do not assign homework that requires a device or internet.</w:t>
      </w:r>
      <w:r>
        <w:rPr/>
        <w:t xml:space="preserve"> Offer paper alternatives for every take-home task.</w:t>
      </w:r>
    </w:p>
    <w:p>
      <w:pPr>
        <w:pStyle w:val="ListBullet"/>
      </w:pPr>
      <w:r>
        <w:rPr>
          <w:b/>
        </w:rPr>
        <w:t>Do not shame children for not having a device.</w:t>
      </w:r>
      <w:r>
        <w:rPr/>
        <w:t xml:space="preserve"> Avoid "Everyone has a phone, right?" Ask "If you use a phone, tablet, game console, or computer, even sometimes..."</w:t>
      </w:r>
    </w:p>
    <w:p>
      <w:pPr>
        <w:pStyle w:val="ListBullet"/>
      </w:pPr>
      <w:r>
        <w:rPr>
          <w:b/>
        </w:rPr>
        <w:t>Remember shared devices.</w:t>
      </w:r>
      <w:r>
        <w:rPr/>
        <w:t xml:space="preserve"> A shared family tablet can carry risk even if a child "has no phone." Teach the same behaviors.</w:t>
      </w:r>
    </w:p>
    <w:p>
      <w:pPr>
        <w:pStyle w:val="ListBullet"/>
      </w:pPr>
      <w:r>
        <w:rPr>
          <w:b/>
        </w:rPr>
        <w:t>Public computers and Wi-Fi.</w:t>
      </w:r>
      <w:r>
        <w:rPr/>
        <w:t xml:space="preserve"> Teach: log out when done, don't save passwords on shared devices, and what to do at a library or school computer.</w:t>
      </w:r>
    </w:p>
    <w:p>
      <w:pPr>
        <w:pStyle w:val="ListBullet"/>
      </w:pPr>
      <w:r>
        <w:rPr>
          <w:b/>
        </w:rPr>
        <w:t>Offer in-school time</w:t>
      </w:r>
      <w:r>
        <w:rPr/>
        <w:t xml:space="preserve"> for activities that might need a device, such as the Hackles Day stations.</w:t>
      </w:r>
    </w:p>
    <w:p>
      <w:pPr>
        <w:pStyle w:val="ListBullet"/>
      </w:pPr>
      <w:r>
        <w:rPr>
          <w:b/>
        </w:rPr>
        <w:t>Family reply and conversation starters</w:t>
      </w:r>
      <w:r>
        <w:rPr/>
        <w:t xml:space="preserve"> are paper-based and can be done at the kitchen table or while walking, with no device needed.</w:t>
      </w:r>
    </w:p>
    <w:p>
      <w:pPr>
        <w:pStyle w:val="ListBullet"/>
      </w:pPr>
      <w:r>
        <w:rPr>
          <w:b/>
        </w:rPr>
        <w:t>Equity note on rules.</w:t>
      </w:r>
      <w:r>
        <w:rPr/>
        <w:t xml:space="preserve"> Some children may have little supervision because adults work long hours. Avoid scripts that assume an adult is always home. Teach alternative trusted adults and a plan for who to tell.</w:t>
      </w:r>
    </w:p>
    <w:p>
      <w:pPr>
        <w:pStyle w:val="ListBullet"/>
      </w:pPr>
      <w:r>
        <w:rPr>
          <w:b/>
        </w:rPr>
        <w:t>Some children have less access and still face harms.</w:t>
      </w:r>
      <w:r>
        <w:rPr/>
        <w:t xml:space="preserve"> Phones, games, or messaging may be accessed at a friend's house or on a borrowed device, so do not assume that no device means no risk.</w:t>
      </w:r>
    </w:p>
    <w:p>
      <w:pPr>
        <w:pStyle w:val="Heading2"/>
        <w:pBdr>
          <w:top w:val="single" w:sz="18" w:space="6" w:color="FF8A3D"/>
        </w:pBdr>
        <w:spacing w:before="320"/>
      </w:pPr>
      <w:r>
        <w:rPr>
          <w:rFonts w:ascii="Courier New" w:hAnsi="Courier New"/>
          <w:b w:val="0"/>
          <w:color w:val="A8400A"/>
          <w:sz w:val="20"/>
        </w:rPr>
        <w:t xml:space="preserve">07  </w:t>
      </w:r>
      <w:r>
        <w:rPr/>
        <w:t>Trauma-informed practice</w:t>
      </w:r>
    </w:p>
    <w:p>
      <w:r>
        <w:rPr/>
        <w:t xml:space="preserve">Some students have lived through abuse, neglect, violence, loss, bullying or online harm, and these lessons can stir that up. Trauma-informed practice doesn't mean skipping the topic. It means teaching it so that it is </w:t>
      </w:r>
      <w:r>
        <w:rPr>
          <w:b/>
        </w:rPr>
        <w:t>safe, predictable, and gives choice</w:t>
      </w:r>
      <w:r>
        <w:rPr/>
        <w:t>.</w:t>
      </w:r>
    </w:p>
    <w:p>
      <w:pPr>
        <w:pStyle w:val="Heading3"/>
      </w:pPr>
      <w:r>
        <w:rPr/>
        <w:t>Six practices</w:t>
      </w:r>
    </w:p>
    <w:p>
      <w:pPr>
        <w:spacing w:before="0" w:after="60"/>
        <w:ind w:left="504" w:hanging="360"/>
      </w:pPr>
      <w:r>
        <w:rPr>
          <w:b/>
          <w:color w:val="2F6F73"/>
        </w:rPr>
        <w:t xml:space="preserve">1. </w:t>
      </w:r>
      <w:r>
        <w:rPr>
          <w:b/>
        </w:rPr>
        <w:t>Predictability.</w:t>
      </w:r>
      <w:r>
        <w:rPr/>
        <w:t xml:space="preserve"> Tell students the plan before you begin: "Today we will talk about what to do when someone online makes you uncomfortable. We'll practice telling. You can take a break any time."</w:t>
      </w:r>
    </w:p>
    <w:p>
      <w:pPr>
        <w:spacing w:before="0" w:after="60"/>
        <w:ind w:left="504" w:hanging="360"/>
      </w:pPr>
      <w:r>
        <w:rPr>
          <w:b/>
          <w:color w:val="2F6F73"/>
        </w:rPr>
        <w:t xml:space="preserve">2. </w:t>
      </w:r>
      <w:r>
        <w:rPr>
          <w:b/>
        </w:rPr>
        <w:t>Choice and control.</w:t>
      </w:r>
      <w:r>
        <w:rPr/>
        <w:t xml:space="preserve"> Students may pass, move to a calm spot, draw instead of discuss, or ask to speak with the counselor. Never force role-play participation.</w:t>
      </w:r>
    </w:p>
    <w:p>
      <w:pPr>
        <w:spacing w:before="0" w:after="60"/>
        <w:ind w:left="504" w:hanging="360"/>
      </w:pPr>
      <w:r>
        <w:rPr>
          <w:b/>
          <w:color w:val="2F6F73"/>
        </w:rPr>
        <w:t xml:space="preserve">3. </w:t>
      </w:r>
      <w:r>
        <w:rPr>
          <w:b/>
        </w:rPr>
        <w:t>Avoid graphic detail.</w:t>
      </w:r>
      <w:r>
        <w:rPr/>
        <w:t xml:space="preserve"> Use general language: "someone asked for a picture," not descriptions of images. Do not ask students to share personal experiences in front of others. Invite them to write or talk privately instead.</w:t>
      </w:r>
    </w:p>
    <w:p>
      <w:pPr>
        <w:spacing w:before="0" w:after="60"/>
        <w:ind w:left="504" w:hanging="360"/>
      </w:pPr>
      <w:r>
        <w:rPr>
          <w:b/>
          <w:color w:val="2F6F73"/>
        </w:rPr>
        <w:t xml:space="preserve">4. </w:t>
      </w:r>
      <w:r>
        <w:rPr>
          <w:b/>
        </w:rPr>
        <w:t>Use role-play with cards and characters.</w:t>
      </w:r>
      <w:r>
        <w:rPr/>
        <w:t xml:space="preserve"> Use scripts with fictional names. Keep the "tell" side, not the "victim" side, as the practice focus.</w:t>
      </w:r>
    </w:p>
    <w:p>
      <w:pPr>
        <w:spacing w:before="0" w:after="60"/>
        <w:ind w:left="504" w:hanging="360"/>
      </w:pPr>
      <w:r>
        <w:rPr>
          <w:b/>
          <w:color w:val="2F6F73"/>
        </w:rPr>
        <w:t xml:space="preserve">5. </w:t>
      </w:r>
      <w:r>
        <w:rPr>
          <w:b/>
        </w:rPr>
        <w:t>A calm closing routine.</w:t>
      </w:r>
      <w:r>
        <w:rPr/>
        <w:t xml:space="preserve"> Take a breath together, name a safe adult in the room, a stretch, and a positive final line such as "You are never in trouble for telling."</w:t>
      </w:r>
    </w:p>
    <w:p>
      <w:pPr>
        <w:spacing w:before="0" w:after="60"/>
        <w:ind w:left="504" w:hanging="360"/>
      </w:pPr>
      <w:r>
        <w:rPr>
          <w:b/>
          <w:color w:val="2F6F73"/>
        </w:rPr>
        <w:t xml:space="preserve">6. </w:t>
      </w:r>
      <w:r>
        <w:rPr>
          <w:b/>
        </w:rPr>
        <w:t>Watch for signs of distress.</w:t>
      </w:r>
      <w:r>
        <w:rPr/>
        <w:t xml:space="preserve"> A child who suddenly goes quiet, becomes agitated, asks to leave, or seems frozen needs a kind check-in, not a reprimand. Offer water, a quiet seat, and a private word.</w:t>
      </w:r>
    </w:p>
    <w:p>
      <w:pPr>
        <w:pStyle w:val="Heading3"/>
      </w:pPr>
      <w:r>
        <w:rPr/>
        <w:t>Language that helps</w:t>
      </w:r>
    </w:p>
    <w:p>
      <w:pPr>
        <w:pStyle w:val="ListBullet"/>
      </w:pPr>
      <w:r>
        <w:rPr/>
        <w:t>"You might notice feelings during this lesson. That's normal. You can take a breath, or tell me you need a break."</w:t>
      </w:r>
    </w:p>
    <w:p>
      <w:pPr>
        <w:pStyle w:val="ListBullet"/>
      </w:pPr>
      <w:r>
        <w:rPr/>
        <w:t>"You get to choose what you share."</w:t>
      </w:r>
    </w:p>
    <w:p>
      <w:pPr>
        <w:pStyle w:val="ListBullet"/>
      </w:pPr>
      <w:r>
        <w:rPr/>
        <w:t>"Our class is a place where nobody is blamed."</w:t>
      </w:r>
    </w:p>
    <w:p>
      <w:pPr>
        <w:pStyle w:val="ListBullet"/>
      </w:pPr>
      <w:r>
        <w:rPr/>
        <w:t>"If something comes up for you, I'm here, and so is our counselor."</w:t>
      </w:r>
    </w:p>
    <w:p>
      <w:pPr>
        <w:pStyle w:val="Heading3"/>
      </w:pPr>
      <w:r>
        <w:rPr/>
        <w:t>Language that harms</w:t>
      </w:r>
    </w:p>
    <w:p>
      <w:pPr>
        <w:pStyle w:val="ListBullet"/>
      </w:pPr>
      <w:r>
        <w:rPr/>
        <w:t>"Everyone should know better by now."</w:t>
      </w:r>
    </w:p>
    <w:p>
      <w:pPr>
        <w:pStyle w:val="ListBullet"/>
      </w:pPr>
      <w:r>
        <w:rPr/>
        <w:t>"Anyone who posts that gets what's coming."</w:t>
      </w:r>
    </w:p>
    <w:p>
      <w:pPr>
        <w:pStyle w:val="ListBullet"/>
      </w:pPr>
      <w:r>
        <w:rPr/>
        <w:t>"Tell us about a time this happened to you." (in front of the class)</w:t>
      </w:r>
    </w:p>
    <w:p>
      <w:pPr>
        <w:pStyle w:val="Heading3"/>
      </w:pPr>
      <w:r>
        <w:rPr/>
        <w:t>Remember</w:t>
      </w:r>
    </w:p>
    <w:p>
      <w:pPr>
        <w:pStyle w:val="ListBullet"/>
      </w:pPr>
      <w:r>
        <w:rPr/>
        <w:t>You are not diagnosing, and you don't need to know a child's history to teach with care, so don't go looking for it.</w:t>
      </w:r>
    </w:p>
    <w:p>
      <w:pPr>
        <w:pStyle w:val="ListBullet"/>
      </w:pPr>
      <w:r>
        <w:rPr/>
        <w:t>If a student reacts strongly, follow up the same day with the counselor.</w:t>
      </w:r>
    </w:p>
    <w:p>
      <w:pPr>
        <w:pStyle w:val="ListBullet"/>
      </w:pPr>
      <w:r>
        <w:rPr/>
        <w:t>Some children need to hear "thank you" a hundred times before they tell. Keep saying it.</w:t>
      </w:r>
    </w:p>
    <w:p>
      <w:pPr>
        <w:pStyle w:val="Heading2"/>
        <w:pBdr>
          <w:top w:val="single" w:sz="18" w:space="6" w:color="FF8A3D"/>
        </w:pBdr>
        <w:spacing w:before="320"/>
      </w:pPr>
      <w:r>
        <w:rPr>
          <w:rFonts w:ascii="Courier New" w:hAnsi="Courier New"/>
          <w:b w:val="0"/>
          <w:color w:val="A8400A"/>
          <w:sz w:val="20"/>
        </w:rPr>
        <w:t xml:space="preserve">08  </w:t>
      </w:r>
      <w:r>
        <w:rPr/>
        <w:t>Specific groups at higher risk of harm [VERIFY statistics before quoting]</w:t>
      </w:r>
    </w:p>
    <w:p>
      <w:r>
        <w:rPr/>
        <w:t>Some students are targeted more often online, and they may be less likely to be believed. Examples include LGBTQ+ youth, students with disabilities, students in foster care or unstable housing, students with a history of abuse, isolated students, and English learners. For instance, survey data suggest LGBTQ+ high school students report higher rates of being bullied electronically (CDC YRBS 2023) [VERIFY].</w:t>
      </w:r>
    </w:p>
    <w:p>
      <w:r>
        <w:rPr/>
        <w:t>What you can do:</w:t>
      </w:r>
    </w:p>
    <w:p>
      <w:pPr>
        <w:pStyle w:val="ListBullet"/>
      </w:pPr>
      <w:r>
        <w:rPr/>
        <w:t>Be a consistent, safe adult. Notice and name strengths.</w:t>
      </w:r>
    </w:p>
    <w:p>
      <w:pPr>
        <w:pStyle w:val="ListBullet"/>
      </w:pPr>
      <w:r>
        <w:rPr/>
        <w:t>Avoid singling out students or revealing sensitive information.</w:t>
      </w:r>
    </w:p>
    <w:p>
      <w:pPr>
        <w:pStyle w:val="ListBullet"/>
      </w:pPr>
      <w:r>
        <w:rPr/>
        <w:t>Use inclusive language: "the people in your life," "a grown-up you trust."</w:t>
      </w:r>
    </w:p>
    <w:p>
      <w:pPr>
        <w:pStyle w:val="ListBullet"/>
      </w:pPr>
      <w:r>
        <w:rPr/>
        <w:t>Challenge identity-based bullying right away and follow your bullying policy.</w:t>
      </w:r>
    </w:p>
    <w:p>
      <w:pPr>
        <w:pStyle w:val="ListBullet"/>
      </w:pPr>
      <w:r>
        <w:rPr/>
        <w:t>Make sure the counselor knows these lessons are coming.</w:t>
      </w:r>
    </w:p>
    <w:p>
      <w:pPr>
        <w:pStyle w:val="Heading2"/>
        <w:pBdr>
          <w:top w:val="single" w:sz="18" w:space="6" w:color="FF8A3D"/>
        </w:pBdr>
        <w:spacing w:before="320"/>
      </w:pPr>
      <w:r>
        <w:rPr>
          <w:rFonts w:ascii="Courier New" w:hAnsi="Courier New"/>
          <w:b w:val="0"/>
          <w:color w:val="A8400A"/>
          <w:sz w:val="20"/>
        </w:rPr>
        <w:t xml:space="preserve">09  </w:t>
      </w:r>
      <w:r>
        <w:rPr/>
        <w:t>Quick checklist before you teach</w:t>
      </w:r>
    </w:p>
    <w:p>
      <w:pPr>
        <w:spacing w:before="0" w:after="60"/>
        <w:ind w:left="504" w:hanging="360"/>
      </w:pPr>
      <w:r>
        <w:rPr>
          <w:rFonts w:ascii="Segoe UI Symbol" w:hAnsi="Segoe UI Symbol"/>
        </w:rPr>
        <w:t xml:space="preserve">☐ </w:t>
      </w:r>
      <w:r>
        <w:rPr/>
        <w:t>I have said "a grown-up you trust" instead of "your parents."</w:t>
      </w:r>
    </w:p>
    <w:p>
      <w:pPr>
        <w:spacing w:before="0" w:after="60"/>
        <w:ind w:left="504" w:hanging="360"/>
      </w:pPr>
      <w:r>
        <w:rPr>
          <w:rFonts w:ascii="Segoe UI Symbol" w:hAnsi="Segoe UI Symbol"/>
        </w:rPr>
        <w:t xml:space="preserve">☐ </w:t>
      </w:r>
      <w:r>
        <w:rPr/>
        <w:t>I have a paper option for every activity.</w:t>
      </w:r>
    </w:p>
    <w:p>
      <w:pPr>
        <w:spacing w:before="0" w:after="60"/>
        <w:ind w:left="504" w:hanging="360"/>
      </w:pPr>
      <w:r>
        <w:rPr>
          <w:rFonts w:ascii="Segoe UI Symbol" w:hAnsi="Segoe UI Symbol"/>
        </w:rPr>
        <w:t xml:space="preserve">☐ </w:t>
      </w:r>
      <w:r>
        <w:rPr/>
        <w:t>Key words are pre-taught with pictures for English learners.</w:t>
      </w:r>
    </w:p>
    <w:p>
      <w:pPr>
        <w:spacing w:before="0" w:after="60"/>
        <w:ind w:left="504" w:hanging="360"/>
      </w:pPr>
      <w:r>
        <w:rPr>
          <w:rFonts w:ascii="Segoe UI Symbol" w:hAnsi="Segoe UI Symbol"/>
        </w:rPr>
        <w:t xml:space="preserve">☐ </w:t>
      </w:r>
      <w:r>
        <w:rPr/>
        <w:t>I have checked IEP and 504 plans for needed supports.</w:t>
      </w:r>
    </w:p>
    <w:p>
      <w:pPr>
        <w:spacing w:before="0" w:after="60"/>
        <w:ind w:left="504" w:hanging="360"/>
      </w:pPr>
      <w:r>
        <w:rPr>
          <w:rFonts w:ascii="Segoe UI Symbol" w:hAnsi="Segoe UI Symbol"/>
        </w:rPr>
        <w:t xml:space="preserve">☐ </w:t>
      </w:r>
      <w:r>
        <w:rPr/>
        <w:t>I have told students they can pass, take a break, or see the counselor.</w:t>
      </w:r>
    </w:p>
    <w:p>
      <w:pPr>
        <w:spacing w:before="0" w:after="60"/>
        <w:ind w:left="504" w:hanging="360"/>
      </w:pPr>
      <w:r>
        <w:rPr>
          <w:rFonts w:ascii="Segoe UI Symbol" w:hAnsi="Segoe UI Symbol"/>
        </w:rPr>
        <w:t xml:space="preserve">☐ </w:t>
      </w:r>
      <w:r>
        <w:rPr/>
        <w:t>My examples avoid blaming and stereotypes.</w:t>
      </w:r>
    </w:p>
    <w:p>
      <w:pPr>
        <w:spacing w:before="0" w:after="60"/>
        <w:ind w:left="504" w:hanging="360"/>
      </w:pPr>
      <w:r>
        <w:rPr>
          <w:rFonts w:ascii="Segoe UI Symbol" w:hAnsi="Segoe UI Symbol"/>
        </w:rPr>
        <w:t xml:space="preserve">☐ </w:t>
      </w:r>
      <w:r>
        <w:rPr/>
        <w:t>I have the counselor's name and a plan for same-day follow-up.</w:t>
      </w:r>
    </w:p>
    <w:p>
      <w:pPr>
        <w:spacing w:before="0" w:after="60"/>
        <w:ind w:left="504" w:hanging="360"/>
      </w:pPr>
      <w:r>
        <w:rPr>
          <w:rFonts w:ascii="Segoe UI Symbol" w:hAnsi="Segoe UI Symbol"/>
        </w:rPr>
        <w:t xml:space="preserve">☐ </w:t>
      </w:r>
      <w:r>
        <w:rPr/>
        <w:t>Family letters are ready in the languages of my families.</w:t>
      </w:r>
    </w:p>
    <w:p>
      <w:pPr>
        <w:spacing w:before="0" w:after="60"/>
        <w:ind w:left="504" w:hanging="360"/>
      </w:pPr>
      <w:r>
        <w:rPr>
          <w:rFonts w:ascii="Segoe UI Symbol" w:hAnsi="Segoe UI Symbol"/>
        </w:rPr>
        <w:t xml:space="preserve">☐ </w:t>
      </w:r>
      <w:r>
        <w:rPr/>
        <w:t>I have an interpreter plan if a student needs to disclose.</w:t>
      </w:r>
    </w:p>
    <w:p>
      <w:r>
        <w:rPr>
          <w:i/>
        </w:rPr>
        <w:t>This guide is general educational guidance. Consult your district's special education, language access, and counsel for legal obligations.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INCLUSION AND EQUITY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Inclusion and Equity Guide</dc:title>
  <dc:subject>Teacher Support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