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Florida · District Adoption Guide</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r>
        <w:rPr>
          <w:b/>
        </w:rPr>
        <w:t>Status: DRAFT working document, 2026-10-05. Not legal advice. Written for a Florida district or school that is considering Hackles as supplemental material for the social media instruction required by s. 1003.42(2)(o)5., Florida Statutes. Hackles has not been reviewed, approved or endorsed by the Florida Department of Education (FLDOE) or by any school district. Ask district counsel before relying on any statement here.</w:t>
      </w:r>
    </w:p>
    <w:p>
      <w:r>
        <w:rPr/>
        <w:t xml:space="preserve">Tag key: </w:t>
      </w:r>
      <w:r>
        <w:rPr>
          <w:b/>
        </w:rPr>
        <w:t>[VERIFIED 2026-10-05: source]</w:t>
      </w:r>
      <w:r>
        <w:rPr/>
        <w:t xml:space="preserve"> = the author read that primary page that day. </w:t>
      </w:r>
      <w:r>
        <w:rPr>
          <w:b/>
        </w:rPr>
        <w:t>[VERIFY]</w:t>
      </w:r>
      <w:r>
        <w:rPr/>
        <w:t xml:space="preserve"> = not confirmed from a primary source.</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What Florida requires, in plain terms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97"/>
        <w:gridCol w:w="8395"/>
      </w:tblGrid>
      <w:tr>
        <w:trPr>
          <w:tblHeader/>
          <w:cantSplit/>
        </w:trPr>
        <w:tc>
          <w:tcPr>
            <w:tcW w:type="dxa" w:w="139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TOPIC</w:t>
            </w:r>
          </w:p>
        </w:tc>
        <w:tc>
          <w:tcPr>
            <w:tcW w:type="dxa" w:w="83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 CONFIRMED FROM PRIMARY SOURCES</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The instruction</w:t>
            </w:r>
          </w:p>
        </w:tc>
        <w:tc>
          <w:tcPr>
            <w:tcW w:type="dxa" w:w="8395"/>
            <w:tcMar>
              <w:top w:w="50" w:type="dxa"/>
              <w:left w:w="90" w:type="dxa"/>
              <w:bottom w:w="60" w:type="dxa"/>
              <w:right w:w="90" w:type="dxa"/>
            </w:tcMar>
          </w:tcPr>
          <w:p>
            <w:pPr>
              <w:spacing w:before="0" w:after="0" w:line="252" w:lineRule="auto"/>
            </w:pPr>
            <w:r>
              <w:rPr>
                <w:rFonts w:ascii="Calibri" w:hAnsi="Calibri"/>
                <w:sz w:val="19"/>
              </w:rPr>
              <w:t>For students in grades 6 through 12, instruction on "the social, emotional, and physical effects of social media," which "must include, but need not be limited to" six items: negative effects on mental health including addiction; misinformation; how social media manipulates behavior; permanency of sharing materials online; how to maintain personal security and identify cyberbullying, predatory behavior and human trafficking; how to report suspicious behavior. [VERIFIED 2026-10-05: s. 1003.42(2)(o)5.a., leg.state.fl.us, 2026 Florida Statutes]</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Who teaches it</w:t>
            </w:r>
          </w:p>
        </w:tc>
        <w:tc>
          <w:tcPr>
            <w:tcW w:type="dxa" w:w="8395"/>
            <w:tcMar>
              <w:top w:w="50" w:type="dxa"/>
              <w:left w:w="90" w:type="dxa"/>
              <w:bottom w:w="60" w:type="dxa"/>
              <w:right w:w="90" w:type="dxa"/>
            </w:tcMar>
          </w:tcPr>
          <w:p>
            <w:pPr>
              <w:spacing w:before="0" w:after="0" w:line="252" w:lineRule="auto"/>
            </w:pPr>
            <w:r>
              <w:rPr>
                <w:rFonts w:ascii="Calibri" w:hAnsi="Calibri"/>
                <w:sz w:val="19"/>
              </w:rPr>
              <w:t>"Members of the instructional staff of the public schools, subject to the rules of the State Board of Education and the district school board." [VERIFIED 2026-10-05: s. 1003.42(2)]</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Parent notice</w:t>
            </w:r>
          </w:p>
        </w:tc>
        <w:tc>
          <w:tcPr>
            <w:tcW w:type="dxa" w:w="8395"/>
            <w:tcMar>
              <w:top w:w="50" w:type="dxa"/>
              <w:left w:w="90" w:type="dxa"/>
              <w:bottom w:w="60" w:type="dxa"/>
              <w:right w:w="90" w:type="dxa"/>
            </w:tcMar>
          </w:tcPr>
          <w:p>
            <w:pPr>
              <w:spacing w:before="0" w:after="0" w:line="252" w:lineRule="auto"/>
            </w:pPr>
            <w:r>
              <w:rPr>
                <w:rFonts w:ascii="Calibri" w:hAnsi="Calibri"/>
                <w:sz w:val="19"/>
              </w:rPr>
              <w:t>"The Department of Education shall make available online the instructional material being used pursuant to this subparagraph, and each district school board shall notify parents of its availability." [VERIFIED 2026-10-05: s. 1003.42(2)(o)5.b.] FLDOE's page adds that districts must "ensure that notification is accessible on the district website homepage." [VERIFIED 2026-10-05: fldoe.org effects-sm.stml] Note: the statute text I read requires a homepage notice and a link for the reproductive-health exemption in subsection (5); I did not find the word "homepage" in 5.b. itself. The FLDOE page is the stricter reading, so follow it. FLDOE's page cites "Section 1003.42(6)" for this duty; subsection (6) in the statute is the implementation plan, so the citation on that page appears off by a subsection. [VERIFY with FLDOE]</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State materials</w:t>
            </w:r>
          </w:p>
        </w:tc>
        <w:tc>
          <w:tcPr>
            <w:tcW w:type="dxa" w:w="8395"/>
            <w:tcMar>
              <w:top w:w="50" w:type="dxa"/>
              <w:left w:w="90" w:type="dxa"/>
              <w:bottom w:w="60" w:type="dxa"/>
              <w:right w:w="90" w:type="dxa"/>
            </w:tcMar>
          </w:tcPr>
          <w:p>
            <w:pPr>
              <w:spacing w:before="0" w:after="0" w:line="252" w:lineRule="auto"/>
            </w:pPr>
            <w:r>
              <w:rPr>
                <w:rFonts w:ascii="Calibri" w:hAnsi="Calibri"/>
                <w:sz w:val="19"/>
              </w:rPr>
              <w:t>FLDOE publishes an Effects of Social Media Instructional Guide (Word) and "A Student's Guide to Internet Safety" (PDF) at fldoe.org/academics/standards/instructional-materials/effects-sm.stml. The guide is a benchmark-based planning resource, "flexible" and "updated as needed." [VERIFIED 2026-10-05: FLDOE page; guide (Word) read in part; the student guide PDF was later read in full. It describes itself as supplementary, home-use material that "does not constitute complete instruction" (p.4), so handing it to students does not deliver the required instruction; see Crosswalk Sections 9 to 11]</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Annual plan</w:t>
            </w:r>
          </w:p>
        </w:tc>
        <w:tc>
          <w:tcPr>
            <w:tcW w:type="dxa" w:w="8395"/>
            <w:tcMar>
              <w:top w:w="50" w:type="dxa"/>
              <w:left w:w="90" w:type="dxa"/>
              <w:bottom w:w="60" w:type="dxa"/>
              <w:right w:w="90" w:type="dxa"/>
            </w:tcMar>
          </w:tcPr>
          <w:p>
            <w:pPr>
              <w:spacing w:before="0" w:after="0" w:line="252" w:lineRule="auto"/>
            </w:pPr>
            <w:r>
              <w:rPr>
                <w:rFonts w:ascii="Calibri" w:hAnsi="Calibri"/>
                <w:sz w:val="19"/>
              </w:rPr>
              <w:t>Each district submits a Required Instruction Implementation Plan by July 1 each year through the Instructional Materials and Library Media District Certifications and Plans Portal (districts.flimadoption.org), on FLDOE's template. The plan must describe (a) how instruction will be delivered at each grade level, (b) the professional qualifications of the person delivering it and (c) the materials and resources used. [VERIFIED 2026-10-05: Rule 6A-1.094124(1)-(2), F.A.C., effective 8/25/2026, flrules.org; fldoe.org required-instr.stml]. The statute also requires the plan to be posted on the district website (s. 1003.42(6)) and gives FLDOE 45 days' notice rights if a plan or reported instruction does not meet requirements (s. 1003.42(7)). [VERIFIED 2026-10-05: leg.state.fl.us]</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Enforcement</w:t>
            </w:r>
          </w:p>
        </w:tc>
        <w:tc>
          <w:tcPr>
            <w:tcW w:type="dxa" w:w="8395"/>
            <w:tcMar>
              <w:top w:w="50" w:type="dxa"/>
              <w:left w:w="90" w:type="dxa"/>
              <w:bottom w:w="60" w:type="dxa"/>
              <w:right w:w="90" w:type="dxa"/>
            </w:tcMar>
          </w:tcPr>
          <w:p>
            <w:pPr>
              <w:spacing w:before="0" w:after="0" w:line="252" w:lineRule="auto"/>
            </w:pPr>
            <w:r>
              <w:rPr>
                <w:rFonts w:ascii="Calibri" w:hAnsi="Calibri"/>
                <w:sz w:val="19"/>
              </w:rPr>
              <w:t>The State Board may take actions under s. 1008.32(4) if a district fails to comply. [VERIFIED 2026-10-05: s. 1003.42(8)]</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Effective date</w:t>
            </w:r>
          </w:p>
        </w:tc>
        <w:tc>
          <w:tcPr>
            <w:tcW w:type="dxa" w:w="8395"/>
            <w:tcMar>
              <w:top w:w="50" w:type="dxa"/>
              <w:left w:w="90" w:type="dxa"/>
              <w:bottom w:w="60" w:type="dxa"/>
              <w:right w:w="90" w:type="dxa"/>
            </w:tcMar>
          </w:tcPr>
          <w:p>
            <w:pPr>
              <w:spacing w:before="0" w:after="0" w:line="252" w:lineRule="auto"/>
            </w:pPr>
            <w:r>
              <w:rPr>
                <w:rFonts w:ascii="Calibri" w:hAnsi="Calibri"/>
                <w:sz w:val="19"/>
              </w:rPr>
              <w:t>CS/HB 379 (Chapter 2023-36) took effect July 1, 2023. [VERIFIED 2026-10-05: enrolled bill, flsenate.gov; laws.flrules.org/2023/36]</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Parent opt-out</w:t>
            </w:r>
          </w:p>
        </w:tc>
        <w:tc>
          <w:tcPr>
            <w:tcW w:type="dxa" w:w="8395"/>
            <w:tcMar>
              <w:top w:w="50" w:type="dxa"/>
              <w:left w:w="90" w:type="dxa"/>
              <w:bottom w:w="60" w:type="dxa"/>
              <w:right w:w="90" w:type="dxa"/>
            </w:tcMar>
          </w:tcPr>
          <w:p>
            <w:pPr>
              <w:spacing w:before="0" w:after="0" w:line="252" w:lineRule="auto"/>
            </w:pPr>
            <w:r>
              <w:rPr>
                <w:rFonts w:ascii="Calibri" w:hAnsi="Calibri"/>
                <w:sz w:val="19"/>
              </w:rPr>
              <w:t>The only parental exemption I found in s. 1003.42 is for "reproductive health or any disease, including HIV/AIDS" instruction (subsection (5)). I found no statutory opt-out for the social media instruction. [VERIFIED 2026-10-05: s. 1003.42(5)] Any opt-out from Hackles lessons is therefore a district or school policy choice. [VERIFY with district counsel]</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State approval of materials</w:t>
            </w:r>
          </w:p>
        </w:tc>
        <w:tc>
          <w:tcPr>
            <w:tcW w:type="dxa" w:w="8395"/>
            <w:tcMar>
              <w:top w:w="50" w:type="dxa"/>
              <w:left w:w="90" w:type="dxa"/>
              <w:bottom w:w="60" w:type="dxa"/>
              <w:right w:w="90" w:type="dxa"/>
            </w:tcMar>
          </w:tcPr>
          <w:p>
            <w:pPr>
              <w:spacing w:before="0" w:after="0" w:line="252" w:lineRule="auto"/>
            </w:pPr>
            <w:r>
              <w:rPr>
                <w:rFonts w:ascii="Calibri" w:hAnsi="Calibri"/>
                <w:sz w:val="19"/>
              </w:rPr>
              <w:t>s. 1003.42(1)(b) requires department approval for materials used to teach reproductive health and disease. I found no equivalent state approval requirement for social media materials. [VERIFIED 2026-10-05: s. 1003.42(1)(b)] Districts may run their own instructional-materials review under s. 1006.283 (reviewers, public access at least 20 calendar days before a board hearing, public meeting, parent notice of local access). [VERIFIED 2026-10-05: s. 1006.283(2)] Whether a free supplemental kit is "instructional materials" (defined in s. 1006.29(2) as "items having intellectual content that by design serve as a major tool for assisting in the instruction of a subject or course") and must go through that process is for district counsel. [VERIFY]</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Content limit</w:t>
            </w:r>
          </w:p>
        </w:tc>
        <w:tc>
          <w:tcPr>
            <w:tcW w:type="dxa" w:w="8395"/>
            <w:tcMar>
              <w:top w:w="50" w:type="dxa"/>
              <w:left w:w="90" w:type="dxa"/>
              <w:bottom w:w="60" w:type="dxa"/>
              <w:right w:w="90" w:type="dxa"/>
            </w:tcMar>
          </w:tcPr>
          <w:p>
            <w:pPr>
              <w:spacing w:before="0" w:after="0" w:line="252" w:lineRule="auto"/>
            </w:pPr>
            <w:r>
              <w:rPr>
                <w:rFonts w:ascii="Calibri" w:hAnsi="Calibri"/>
                <w:sz w:val="19"/>
              </w:rPr>
              <w:t>"Health education and life skills instruction and materials may not contradict the principles enumerated in subsection (3)." [VERIFIED 2026-10-05: s. 1003.42(2)(o)] Have counsel and reviewers check Hackles against subsection (3). [VERIFY]</w:t>
            </w:r>
          </w:p>
        </w:tc>
      </w:tr>
      <w:tr>
        <w:trPr>
          <w:cantSplit/>
        </w:trPr>
        <w:tc>
          <w:tcPr>
            <w:tcW w:type="dxa" w:w="1397"/>
            <w:tcMar>
              <w:top w:w="50" w:type="dxa"/>
              <w:left w:w="0" w:type="dxa"/>
              <w:bottom w:w="60" w:type="dxa"/>
              <w:right w:w="90" w:type="dxa"/>
            </w:tcMar>
          </w:tcPr>
          <w:p>
            <w:pPr>
              <w:spacing w:before="0" w:after="0" w:line="252" w:lineRule="auto"/>
            </w:pPr>
            <w:r>
              <w:rPr>
                <w:rFonts w:ascii="Calibri" w:hAnsi="Calibri"/>
                <w:b/>
                <w:sz w:val="19"/>
              </w:rPr>
              <w:t>Staff training</w:t>
            </w:r>
          </w:p>
        </w:tc>
        <w:tc>
          <w:tcPr>
            <w:tcW w:type="dxa" w:w="8395"/>
            <w:tcMar>
              <w:top w:w="50" w:type="dxa"/>
              <w:left w:w="90" w:type="dxa"/>
              <w:bottom w:w="60" w:type="dxa"/>
              <w:right w:w="90" w:type="dxa"/>
            </w:tcMar>
          </w:tcPr>
          <w:p>
            <w:pPr>
              <w:spacing w:before="0" w:after="0" w:line="252" w:lineRule="auto"/>
            </w:pPr>
            <w:r>
              <w:rPr>
                <w:rFonts w:ascii="Calibri" w:hAnsi="Calibri"/>
                <w:sz w:val="19"/>
              </w:rPr>
              <w:t>Under s. 1006.481 (2025), schools must require instructional, administrative and educational support personnel who have contact with students to complete human trafficking awareness training and to submit an acknowledgment that the school retains; the training protocol requires reporting suspected trafficking of a child to DCF or the Florida Human Trafficking Hotline. [VERIFIED 2026-10-05: s. 1006.481, leg.state.fl.us; fldoe.org human-trafficking page]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02  </w:t>
      </w:r>
      <w:r>
        <w:rPr/>
        <w:t>Related Florida laws a district might cite</w:t>
      </w:r>
    </w:p>
    <w:p>
      <w:r>
        <w:rPr/>
        <w:t>Each row says what I read. I did not read case law or litigation status.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69"/>
        <w:gridCol w:w="2655"/>
        <w:gridCol w:w="1368"/>
      </w:tblGrid>
      <w:tr>
        <w:trPr>
          <w:tblHeader/>
          <w:cantSplit/>
        </w:trPr>
        <w:tc>
          <w:tcPr>
            <w:tcW w:type="dxa" w:w="57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LAW</w:t>
            </w:r>
          </w:p>
        </w:tc>
        <w:tc>
          <w:tcPr>
            <w:tcW w:type="dxa" w:w="26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 CONFIRMED</w:t>
            </w:r>
          </w:p>
        </w:tc>
        <w:tc>
          <w:tcPr>
            <w:tcW w:type="dxa" w:w="13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RELEVANCE TO HACKLES</w:t>
            </w:r>
          </w:p>
        </w:tc>
      </w:tr>
      <w:tr>
        <w:trPr>
          <w:cantSplit/>
          <w:trHeight w:val="432"/>
        </w:trPr>
        <w:tc>
          <w:tcPr>
            <w:tcW w:type="dxa" w:w="5769"/>
            <w:tcMar>
              <w:top w:w="50" w:type="dxa"/>
              <w:left w:w="0" w:type="dxa"/>
              <w:bottom w:w="60" w:type="dxa"/>
              <w:right w:w="90" w:type="dxa"/>
            </w:tcMar>
          </w:tcPr>
          <w:p>
            <w:pPr>
              <w:spacing w:before="0" w:after="0" w:line="252" w:lineRule="auto"/>
            </w:pPr>
            <w:r>
              <w:rPr>
                <w:rFonts w:ascii="Calibri" w:hAnsi="Calibri"/>
                <w:b/>
                <w:sz w:val="19"/>
              </w:rPr>
              <w:t>s. 1003.02(1)(g)3.-5.</w:t>
            </w:r>
            <w:r>
              <w:rPr>
                <w:rFonts w:ascii="Calibri" w:hAnsi="Calibri"/>
                <w:sz w:val="19"/>
              </w:rPr>
              <w:t xml:space="preserve"> (added by HB 379): district Internet safety policy; prohibit student access to social media platforms on district Internet "except when expressly directed by a teacher solely for educational purposes"; prohibit TikTok on district devices and district Internet. [VERIFIED 2026-10-05: leg.state.fl.us 1003.02; enrolled bill]</w:t>
            </w:r>
          </w:p>
        </w:tc>
        <w:tc>
          <w:tcPr>
            <w:tcW w:type="dxa" w:w="2655"/>
            <w:tcMar>
              <w:top w:w="50" w:type="dxa"/>
              <w:left w:w="90" w:type="dxa"/>
              <w:bottom w:w="60" w:type="dxa"/>
              <w:right w:w="90" w:type="dxa"/>
            </w:tcMar>
          </w:tcPr>
          <w:p>
            <w:pPr>
              <w:spacing w:before="0" w:after="0" w:line="252" w:lineRule="auto"/>
            </w:pPr>
            <w:r>
              <w:rPr>
                <w:rFonts w:ascii="Calibri" w:hAnsi="Calibri"/>
                <w:sz w:val="19"/>
              </w:rPr>
              <w:t>District network blocks social media; Hackles lessons are unplugged and need no student accounts or logins, so they fit the policy.</w:t>
            </w:r>
          </w:p>
        </w:tc>
        <w:tc>
          <w:tcPr>
            <w:tcW w:type="dxa" w:w="1368"/>
            <w:tcMar>
              <w:top w:w="50" w:type="dxa"/>
              <w:left w:w="90" w:type="dxa"/>
              <w:bottom w:w="60" w:type="dxa"/>
              <w:right w:w="90" w:type="dxa"/>
            </w:tcMar>
          </w:tcPr>
          <w:p>
            <w:pPr>
              <w:spacing w:before="0" w:after="0" w:line="252" w:lineRule="auto"/>
            </w:pPr>
          </w:p>
        </w:tc>
      </w:tr>
      <w:tr>
        <w:trPr>
          <w:cantSplit/>
          <w:trHeight w:val="432"/>
        </w:trPr>
        <w:tc>
          <w:tcPr>
            <w:tcW w:type="dxa" w:w="5769"/>
            <w:tcMar>
              <w:top w:w="50" w:type="dxa"/>
              <w:left w:w="0" w:type="dxa"/>
              <w:bottom w:w="60" w:type="dxa"/>
              <w:right w:w="90" w:type="dxa"/>
            </w:tcMar>
          </w:tcPr>
          <w:p>
            <w:pPr>
              <w:spacing w:before="0" w:after="0" w:line="252" w:lineRule="auto"/>
            </w:pPr>
            <w:r>
              <w:rPr>
                <w:rFonts w:ascii="Calibri" w:hAnsi="Calibri"/>
                <w:b/>
                <w:sz w:val="19"/>
              </w:rPr>
              <w:t>s. 1006.07(2)(f)</w:t>
            </w:r>
            <w:r>
              <w:rPr>
                <w:rFonts w:ascii="Calibri" w:hAnsi="Calibri"/>
                <w:sz w:val="19"/>
              </w:rPr>
              <w:t xml:space="preserve"> as amended by HB 379: code of student conduct must prohibit student use of wireless communications devices during instructional time except as directed by a teacher. [VERIFIED 2026-10-05: enrolled bill, Section 4]</w:t>
            </w:r>
          </w:p>
        </w:tc>
        <w:tc>
          <w:tcPr>
            <w:tcW w:type="dxa" w:w="2655"/>
            <w:tcMar>
              <w:top w:w="50" w:type="dxa"/>
              <w:left w:w="90" w:type="dxa"/>
              <w:bottom w:w="60" w:type="dxa"/>
              <w:right w:w="90" w:type="dxa"/>
            </w:tcMar>
          </w:tcPr>
          <w:p>
            <w:pPr>
              <w:spacing w:before="0" w:after="0" w:line="252" w:lineRule="auto"/>
            </w:pPr>
            <w:r>
              <w:rPr>
                <w:rFonts w:ascii="Calibri" w:hAnsi="Calibri"/>
                <w:sz w:val="19"/>
              </w:rPr>
              <w:t>Hackles is paper-based; no device needed.</w:t>
            </w:r>
          </w:p>
        </w:tc>
        <w:tc>
          <w:tcPr>
            <w:tcW w:type="dxa" w:w="1368"/>
            <w:tcMar>
              <w:top w:w="50" w:type="dxa"/>
              <w:left w:w="90" w:type="dxa"/>
              <w:bottom w:w="60" w:type="dxa"/>
              <w:right w:w="90" w:type="dxa"/>
            </w:tcMar>
          </w:tcPr>
          <w:p>
            <w:pPr>
              <w:spacing w:before="0" w:after="0" w:line="252" w:lineRule="auto"/>
            </w:pPr>
          </w:p>
        </w:tc>
      </w:tr>
      <w:tr>
        <w:trPr>
          <w:cantSplit/>
          <w:trHeight w:val="432"/>
        </w:trPr>
        <w:tc>
          <w:tcPr>
            <w:tcW w:type="dxa" w:w="5769"/>
            <w:tcMar>
              <w:top w:w="50" w:type="dxa"/>
              <w:left w:w="0" w:type="dxa"/>
              <w:bottom w:w="60" w:type="dxa"/>
              <w:right w:w="90" w:type="dxa"/>
            </w:tcMar>
          </w:tcPr>
          <w:p>
            <w:pPr>
              <w:spacing w:before="0" w:after="0" w:line="252" w:lineRule="auto"/>
            </w:pPr>
            <w:r>
              <w:rPr>
                <w:rFonts w:ascii="Calibri" w:hAnsi="Calibri"/>
                <w:b/>
                <w:sz w:val="19"/>
              </w:rPr>
              <w:t>s. 501.1736 (HB 3, 2024), "Social media use for minors."</w:t>
            </w:r>
            <w:r>
              <w:rPr>
                <w:rFonts w:ascii="Calibri" w:hAnsi="Calibri"/>
                <w:sz w:val="19"/>
              </w:rPr>
              <w:t xml:space="preserve"> Social media platforms must prohibit minors younger than 14 from holding accounts (with termination duties) and must not allow 14- and 15-year-olds to hold accounts without parental consent; defines "social media platform" with "addictive features" (infinite scrolling, push notifications, personal interactive metrics, auto-play, live-streaming). Enforced by the Department of Legal Affairs; history: ch. 2024-42 and ch. 2024-54. [VERIFIED 2026-10-05: s. 501.1736, leg.state.fl.us]</w:t>
            </w:r>
          </w:p>
        </w:tc>
        <w:tc>
          <w:tcPr>
            <w:tcW w:type="dxa" w:w="2655"/>
            <w:tcMar>
              <w:top w:w="50" w:type="dxa"/>
              <w:left w:w="90" w:type="dxa"/>
              <w:bottom w:w="60" w:type="dxa"/>
              <w:right w:w="90" w:type="dxa"/>
            </w:tcMar>
          </w:tcPr>
          <w:p>
            <w:pPr>
              <w:spacing w:before="0" w:after="0" w:line="252" w:lineRule="auto"/>
            </w:pPr>
            <w:r>
              <w:rPr>
                <w:rFonts w:ascii="Calibri" w:hAnsi="Calibri"/>
                <w:sz w:val="19"/>
              </w:rPr>
              <w:t>A district may cite it as context; it regulates platforms, not schools. I did not confirm its effective date, enforcement status or any court challenge. [VERIFY]</w:t>
            </w:r>
          </w:p>
        </w:tc>
        <w:tc>
          <w:tcPr>
            <w:tcW w:type="dxa" w:w="1368"/>
            <w:tcMar>
              <w:top w:w="50" w:type="dxa"/>
              <w:left w:w="90" w:type="dxa"/>
              <w:bottom w:w="60" w:type="dxa"/>
              <w:right w:w="90" w:type="dxa"/>
            </w:tcMar>
          </w:tcPr>
          <w:p>
            <w:pPr>
              <w:spacing w:before="0" w:after="0" w:line="252" w:lineRule="auto"/>
            </w:pPr>
          </w:p>
        </w:tc>
      </w:tr>
      <w:tr>
        <w:trPr>
          <w:cantSplit/>
          <w:trHeight w:val="432"/>
        </w:trPr>
        <w:tc>
          <w:tcPr>
            <w:tcW w:type="dxa" w:w="5769"/>
            <w:tcMar>
              <w:top w:w="50" w:type="dxa"/>
              <w:left w:w="0" w:type="dxa"/>
              <w:bottom w:w="60" w:type="dxa"/>
              <w:right w:w="90" w:type="dxa"/>
            </w:tcMar>
          </w:tcPr>
          <w:p>
            <w:pPr>
              <w:spacing w:before="0" w:after="0" w:line="252" w:lineRule="auto"/>
            </w:pPr>
            <w:r>
              <w:rPr>
                <w:rFonts w:ascii="Calibri" w:hAnsi="Calibri"/>
                <w:b/>
                <w:sz w:val="19"/>
              </w:rPr>
              <w:t>s. 1006.481 (2025)</w:t>
            </w:r>
            <w:r>
              <w:rPr>
                <w:rFonts w:ascii="Calibri" w:hAnsi="Calibri"/>
                <w:sz w:val="19"/>
              </w:rPr>
              <w:t>: staff human trafficking training and acknowledgment. [VERIFIED 2026-10-05]</w:t>
            </w:r>
          </w:p>
        </w:tc>
        <w:tc>
          <w:tcPr>
            <w:tcW w:type="dxa" w:w="2655"/>
            <w:tcMar>
              <w:top w:w="50" w:type="dxa"/>
              <w:left w:w="90" w:type="dxa"/>
              <w:bottom w:w="60" w:type="dxa"/>
              <w:right w:w="90" w:type="dxa"/>
            </w:tcMar>
          </w:tcPr>
          <w:p>
            <w:pPr>
              <w:spacing w:before="0" w:after="0" w:line="252" w:lineRule="auto"/>
            </w:pPr>
            <w:r>
              <w:rPr>
                <w:rFonts w:ascii="Calibri" w:hAnsi="Calibri"/>
                <w:sz w:val="19"/>
              </w:rPr>
              <w:t>Staff teaching the trafficking Plus lessons (6-8 P1, 9-12 P1) should have completed it.</w:t>
            </w:r>
          </w:p>
        </w:tc>
        <w:tc>
          <w:tcPr>
            <w:tcW w:type="dxa" w:w="1368"/>
            <w:tcMar>
              <w:top w:w="50" w:type="dxa"/>
              <w:left w:w="90" w:type="dxa"/>
              <w:bottom w:w="60" w:type="dxa"/>
              <w:right w:w="90" w:type="dxa"/>
            </w:tcMar>
          </w:tcPr>
          <w:p>
            <w:pPr>
              <w:spacing w:before="0" w:after="0" w:line="252" w:lineRule="auto"/>
            </w:pPr>
          </w:p>
        </w:tc>
      </w:tr>
      <w:tr>
        <w:trPr>
          <w:cantSplit/>
          <w:trHeight w:val="432"/>
        </w:trPr>
        <w:tc>
          <w:tcPr>
            <w:tcW w:type="dxa" w:w="5769"/>
            <w:tcMar>
              <w:top w:w="50" w:type="dxa"/>
              <w:left w:w="0" w:type="dxa"/>
              <w:bottom w:w="60" w:type="dxa"/>
              <w:right w:w="90" w:type="dxa"/>
            </w:tcMar>
          </w:tcPr>
          <w:p>
            <w:pPr>
              <w:spacing w:before="0" w:after="0" w:line="252" w:lineRule="auto"/>
            </w:pPr>
            <w:r>
              <w:rPr>
                <w:rFonts w:ascii="Calibri" w:hAnsi="Calibri"/>
                <w:b/>
                <w:sz w:val="19"/>
              </w:rPr>
              <w:t>Rule 6A-1.094124, F.A.C.</w:t>
            </w:r>
            <w:r>
              <w:rPr>
                <w:rFonts w:ascii="Calibri" w:hAnsi="Calibri"/>
                <w:sz w:val="19"/>
              </w:rPr>
              <w:t xml:space="preserve"> (effective 8/25/2026): annual implementation plan; child trafficking prevention education for K-12 covering signs, resources, prevalence and strategies to reduce risk, healthy boundaries, how to seek assistance safely, and how social media and mobile device applications are used for human trafficking; a minimum of five hours of resiliency education for grades 6-12. [VERIFIED 2026-10-05: flrules.org rule text read from the rule's Word file]</w:t>
            </w:r>
          </w:p>
        </w:tc>
        <w:tc>
          <w:tcPr>
            <w:tcW w:type="dxa" w:w="2655"/>
            <w:tcMar>
              <w:top w:w="50" w:type="dxa"/>
              <w:left w:w="90" w:type="dxa"/>
              <w:bottom w:w="60" w:type="dxa"/>
              <w:right w:w="90" w:type="dxa"/>
            </w:tcMar>
          </w:tcPr>
          <w:p>
            <w:pPr>
              <w:spacing w:before="0" w:after="0" w:line="252" w:lineRule="auto"/>
            </w:pPr>
            <w:r>
              <w:rPr>
                <w:rFonts w:ascii="Calibri" w:hAnsi="Calibri"/>
                <w:sz w:val="19"/>
              </w:rPr>
              <w:t>Strongest Florida hook for the trafficking gap in Hackles, now addressed by Plus Lesson P1 in each band (pending specialist review).</w:t>
            </w:r>
          </w:p>
        </w:tc>
        <w:tc>
          <w:tcPr>
            <w:tcW w:type="dxa" w:w="1368"/>
            <w:tcMar>
              <w:top w:w="50" w:type="dxa"/>
              <w:left w:w="90" w:type="dxa"/>
              <w:bottom w:w="60" w:type="dxa"/>
              <w:right w:w="90" w:type="dxa"/>
            </w:tcMar>
          </w:tcPr>
          <w:p>
            <w:pPr>
              <w:spacing w:before="0" w:after="0" w:line="252" w:lineRule="auto"/>
            </w:pPr>
          </w:p>
        </w:tc>
      </w:tr>
      <w:tr>
        <w:trPr>
          <w:cantSplit/>
          <w:trHeight w:val="432"/>
        </w:trPr>
        <w:tc>
          <w:tcPr>
            <w:tcW w:type="dxa" w:w="5769"/>
            <w:tcMar>
              <w:top w:w="50" w:type="dxa"/>
              <w:left w:w="0" w:type="dxa"/>
              <w:bottom w:w="60" w:type="dxa"/>
              <w:right w:w="90" w:type="dxa"/>
            </w:tcMar>
          </w:tcPr>
          <w:p>
            <w:pPr>
              <w:spacing w:before="0" w:after="0" w:line="252" w:lineRule="auto"/>
            </w:pPr>
            <w:r>
              <w:rPr>
                <w:rFonts w:ascii="Calibri" w:hAnsi="Calibri"/>
                <w:b/>
                <w:sz w:val="19"/>
              </w:rPr>
              <w:t>s. 39.201(1)</w:t>
            </w:r>
            <w:r>
              <w:rPr>
                <w:rFonts w:ascii="Calibri" w:hAnsi="Calibri"/>
                <w:sz w:val="19"/>
              </w:rPr>
              <w:t xml:space="preserve"> mandatory reporting: "A person is required to report immediately" to the central abuse hotline if he or she "knows, or has reasonable cause to suspect" child abuse; teachers and other school personnel who report must give their name. [VERIFIED 2026-10-05: leg.state.fl.us]</w:t>
            </w:r>
          </w:p>
        </w:tc>
        <w:tc>
          <w:tcPr>
            <w:tcW w:type="dxa" w:w="2655"/>
            <w:tcMar>
              <w:top w:w="50" w:type="dxa"/>
              <w:left w:w="90" w:type="dxa"/>
              <w:bottom w:w="60" w:type="dxa"/>
              <w:right w:w="90" w:type="dxa"/>
            </w:tcMar>
          </w:tcPr>
          <w:p>
            <w:pPr>
              <w:spacing w:before="0" w:after="0" w:line="252" w:lineRule="auto"/>
            </w:pPr>
            <w:r>
              <w:rPr>
                <w:rFonts w:ascii="Calibri" w:hAnsi="Calibri"/>
                <w:sz w:val="19"/>
              </w:rPr>
              <w:t>Every adult in the room, not only teachers, is covered; the kit's disclosure boxes should cite the Florida hotline.</w:t>
            </w:r>
          </w:p>
        </w:tc>
        <w:tc>
          <w:tcPr>
            <w:tcW w:type="dxa" w:w="1368"/>
            <w:tcMar>
              <w:top w:w="50" w:type="dxa"/>
              <w:left w:w="90" w:type="dxa"/>
              <w:bottom w:w="60" w:type="dxa"/>
              <w:right w:w="90" w:type="dxa"/>
            </w:tcMar>
          </w:tcPr>
          <w:p>
            <w:pPr>
              <w:spacing w:before="0" w:after="0" w:line="252" w:lineRule="auto"/>
            </w:pPr>
          </w:p>
        </w:tc>
      </w:tr>
      <w:tr>
        <w:trPr>
          <w:cantSplit/>
          <w:trHeight w:val="432"/>
        </w:trPr>
        <w:tc>
          <w:tcPr>
            <w:tcW w:type="dxa" w:w="5769"/>
            <w:tcMar>
              <w:top w:w="50" w:type="dxa"/>
              <w:left w:w="0" w:type="dxa"/>
              <w:bottom w:w="60" w:type="dxa"/>
              <w:right w:w="90" w:type="dxa"/>
            </w:tcMar>
          </w:tcPr>
          <w:p>
            <w:pPr>
              <w:spacing w:before="0" w:after="0" w:line="252" w:lineRule="auto"/>
            </w:pPr>
            <w:r>
              <w:rPr>
                <w:rFonts w:ascii="Calibri" w:hAnsi="Calibri"/>
                <w:b/>
                <w:sz w:val="19"/>
              </w:rPr>
              <w:t>s. 787.06</w:t>
            </w:r>
            <w:r>
              <w:rPr>
                <w:rFonts w:ascii="Calibri" w:hAnsi="Calibri"/>
                <w:sz w:val="19"/>
              </w:rPr>
              <w:t xml:space="preserve"> human trafficking (including legislative findings). [VERIFIED 2026-10-05, read in part]</w:t>
            </w:r>
          </w:p>
        </w:tc>
        <w:tc>
          <w:tcPr>
            <w:tcW w:type="dxa" w:w="2655"/>
            <w:tcMar>
              <w:top w:w="50" w:type="dxa"/>
              <w:left w:w="90" w:type="dxa"/>
              <w:bottom w:w="60" w:type="dxa"/>
              <w:right w:w="90" w:type="dxa"/>
            </w:tcMar>
          </w:tcPr>
          <w:p>
            <w:pPr>
              <w:spacing w:before="0" w:after="0" w:line="252" w:lineRule="auto"/>
            </w:pPr>
            <w:r>
              <w:rPr>
                <w:rFonts w:ascii="Calibri" w:hAnsi="Calibri"/>
                <w:sz w:val="19"/>
              </w:rPr>
              <w:t>Source of the framing in the trafficking Plus lessons (6-8 P1, 9-12 P1).</w:t>
            </w:r>
          </w:p>
        </w:tc>
        <w:tc>
          <w:tcPr>
            <w:tcW w:type="dxa" w:w="1368"/>
            <w:tcMar>
              <w:top w:w="50" w:type="dxa"/>
              <w:left w:w="90" w:type="dxa"/>
              <w:bottom w:w="60" w:type="dxa"/>
              <w:right w:w="90" w:type="dxa"/>
            </w:tcMar>
          </w:tcPr>
          <w:p>
            <w:pPr>
              <w:spacing w:before="0" w:after="0" w:line="252" w:lineRule="auto"/>
            </w:pPr>
          </w:p>
        </w:tc>
      </w:tr>
      <w:tr>
        <w:trPr>
          <w:cantSplit/>
          <w:trHeight w:val="432"/>
        </w:trPr>
        <w:tc>
          <w:tcPr>
            <w:tcW w:type="dxa" w:w="5769"/>
            <w:tcMar>
              <w:top w:w="50" w:type="dxa"/>
              <w:left w:w="0" w:type="dxa"/>
              <w:bottom w:w="60" w:type="dxa"/>
              <w:right w:w="90" w:type="dxa"/>
            </w:tcMar>
          </w:tcPr>
          <w:p>
            <w:pPr>
              <w:spacing w:before="0" w:after="0" w:line="252" w:lineRule="auto"/>
            </w:pPr>
            <w:r>
              <w:rPr>
                <w:rFonts w:ascii="Calibri" w:hAnsi="Calibri"/>
                <w:b/>
                <w:sz w:val="19"/>
              </w:rPr>
              <w:t>s. 1006.147</w:t>
            </w:r>
            <w:r>
              <w:rPr>
                <w:rFonts w:ascii="Calibri" w:hAnsi="Calibri"/>
                <w:sz w:val="19"/>
              </w:rPr>
              <w:t xml:space="preserve"> bullying and harassment prohibited; definition of cyberbullying. [VERIFIED 2026-10-05, read in part]</w:t>
            </w:r>
          </w:p>
        </w:tc>
        <w:tc>
          <w:tcPr>
            <w:tcW w:type="dxa" w:w="2655"/>
            <w:tcMar>
              <w:top w:w="50" w:type="dxa"/>
              <w:left w:w="90" w:type="dxa"/>
              <w:bottom w:w="60" w:type="dxa"/>
              <w:right w:w="90" w:type="dxa"/>
            </w:tcMar>
          </w:tcPr>
          <w:p>
            <w:pPr>
              <w:spacing w:before="0" w:after="0" w:line="252" w:lineRule="auto"/>
            </w:pPr>
            <w:r>
              <w:rPr>
                <w:rFonts w:ascii="Calibri" w:hAnsi="Calibri"/>
                <w:sz w:val="19"/>
              </w:rPr>
              <w:t>Source for 9-12 Plus Lesson P4.</w:t>
            </w:r>
          </w:p>
        </w:tc>
        <w:tc>
          <w:tcPr>
            <w:tcW w:type="dxa" w:w="136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03  </w:t>
      </w:r>
      <w:r>
        <w:rPr/>
        <w:t>How a district or school can adopt Hackles</w:t>
      </w:r>
    </w:p>
    <w:p>
      <w:r>
        <w:rPr>
          <w:b/>
        </w:rPr>
        <w:t>Before anything else, Hackles as written does not cover every statutory component</w:t>
      </w:r>
      <w:r>
        <w:rPr/>
        <w:t xml:space="preserve"> (see 20_Florida/Florida_HB379_Crosswalk.md): human trafficking is a Gap in both bands, mental health and addiction is partial or a Gap, and platform manipulation is a Gap in 9-12. A district that wants to teach the statutory components using Hackles should plan to use the seven draft gap lessons (Gap_Lesson_Stubs.md) after they pass review, or other materials for those components.</w:t>
      </w:r>
    </w:p>
    <w:p>
      <w:pPr>
        <w:pStyle w:val="Heading3"/>
      </w:pPr>
      <w:r>
        <w:rPr/>
        <w:t>Options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41"/>
        <w:gridCol w:w="4493"/>
        <w:gridCol w:w="3458"/>
      </w:tblGrid>
      <w:tr>
        <w:trPr>
          <w:tblHeader/>
          <w:cantSplit/>
        </w:trPr>
        <w:tc>
          <w:tcPr>
            <w:tcW w:type="dxa" w:w="18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OPTION</w:t>
            </w:r>
          </w:p>
        </w:tc>
        <w:tc>
          <w:tcPr>
            <w:tcW w:type="dxa" w:w="44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w:t>
            </w:r>
          </w:p>
        </w:tc>
        <w:tc>
          <w:tcPr>
            <w:tcW w:type="dxa" w:w="34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1841"/>
            <w:tcMar>
              <w:top w:w="50" w:type="dxa"/>
              <w:left w:w="0" w:type="dxa"/>
              <w:bottom w:w="60" w:type="dxa"/>
              <w:right w:w="90" w:type="dxa"/>
            </w:tcMar>
          </w:tcPr>
          <w:p>
            <w:pPr>
              <w:spacing w:before="0" w:after="0" w:line="252" w:lineRule="auto"/>
            </w:pPr>
            <w:r>
              <w:rPr>
                <w:rFonts w:ascii="Calibri" w:hAnsi="Calibri"/>
                <w:b/>
                <w:sz w:val="19"/>
              </w:rPr>
              <w:t>A. Supplement to FLDOE's guide (suggested)</w:t>
            </w:r>
          </w:p>
        </w:tc>
        <w:tc>
          <w:tcPr>
            <w:tcW w:type="dxa" w:w="4493"/>
            <w:tcMar>
              <w:top w:w="50" w:type="dxa"/>
              <w:left w:w="90" w:type="dxa"/>
              <w:bottom w:w="60" w:type="dxa"/>
              <w:right w:w="90" w:type="dxa"/>
            </w:tcMar>
          </w:tcPr>
          <w:p>
            <w:pPr>
              <w:spacing w:before="0" w:after="0" w:line="252" w:lineRule="auto"/>
            </w:pPr>
            <w:r>
              <w:rPr>
                <w:rFonts w:ascii="Calibri" w:hAnsi="Calibri"/>
                <w:sz w:val="19"/>
              </w:rPr>
              <w:t>Teachers plan from FLDOE's Instructional Guide benchmarks and use Hackles lessons as ready-made 15-minute activities. List Hackles in the implementation plan as a supplemental resource.</w:t>
            </w:r>
          </w:p>
        </w:tc>
        <w:tc>
          <w:tcPr>
            <w:tcW w:type="dxa" w:w="3458"/>
            <w:tcMar>
              <w:top w:w="50" w:type="dxa"/>
              <w:left w:w="90" w:type="dxa"/>
              <w:bottom w:w="60" w:type="dxa"/>
              <w:right w:w="90" w:type="dxa"/>
            </w:tcMar>
          </w:tcPr>
          <w:p>
            <w:pPr>
              <w:spacing w:before="0" w:after="0" w:line="252" w:lineRule="auto"/>
            </w:pPr>
            <w:r>
              <w:rPr>
                <w:rFonts w:ascii="Calibri" w:hAnsi="Calibri"/>
                <w:sz w:val="19"/>
              </w:rPr>
              <w:t>Lowest friction. The FLDOE guide is the posted "instructional material" for the parent notice; Hackles supplements it.</w:t>
            </w:r>
          </w:p>
        </w:tc>
      </w:tr>
      <w:tr>
        <w:trPr>
          <w:cantSplit/>
        </w:trPr>
        <w:tc>
          <w:tcPr>
            <w:tcW w:type="dxa" w:w="1841"/>
            <w:tcMar>
              <w:top w:w="50" w:type="dxa"/>
              <w:left w:w="0" w:type="dxa"/>
              <w:bottom w:w="60" w:type="dxa"/>
              <w:right w:w="90" w:type="dxa"/>
            </w:tcMar>
          </w:tcPr>
          <w:p>
            <w:pPr>
              <w:spacing w:before="0" w:after="0" w:line="252" w:lineRule="auto"/>
            </w:pPr>
            <w:r>
              <w:rPr>
                <w:rFonts w:ascii="Calibri" w:hAnsi="Calibri"/>
                <w:b/>
                <w:sz w:val="19"/>
              </w:rPr>
              <w:t>B. Adopt through the district materials process</w:t>
            </w:r>
          </w:p>
        </w:tc>
        <w:tc>
          <w:tcPr>
            <w:tcW w:type="dxa" w:w="4493"/>
            <w:tcMar>
              <w:top w:w="50" w:type="dxa"/>
              <w:left w:w="90" w:type="dxa"/>
              <w:bottom w:w="60" w:type="dxa"/>
              <w:right w:w="90" w:type="dxa"/>
            </w:tcMar>
          </w:tcPr>
          <w:p>
            <w:pPr>
              <w:spacing w:before="0" w:after="0" w:line="252" w:lineRule="auto"/>
            </w:pPr>
            <w:r>
              <w:rPr>
                <w:rFonts w:ascii="Calibri" w:hAnsi="Calibri"/>
                <w:sz w:val="19"/>
              </w:rPr>
              <w:t>Submit to the district's instructional-materials review under s. 1006.283 if the district uses it for supplemental materials.</w:t>
            </w:r>
          </w:p>
        </w:tc>
        <w:tc>
          <w:tcPr>
            <w:tcW w:type="dxa" w:w="3458"/>
            <w:tcMar>
              <w:top w:w="50" w:type="dxa"/>
              <w:left w:w="90" w:type="dxa"/>
              <w:bottom w:w="60" w:type="dxa"/>
              <w:right w:w="90" w:type="dxa"/>
            </w:tcMar>
          </w:tcPr>
          <w:p>
            <w:pPr>
              <w:spacing w:before="0" w:after="0" w:line="252" w:lineRule="auto"/>
            </w:pPr>
            <w:r>
              <w:rPr>
                <w:rFonts w:ascii="Calibri" w:hAnsi="Calibri"/>
                <w:sz w:val="19"/>
              </w:rPr>
              <w:t>Needed if district counsel says the kit is "instructional materials." Allow time for reviewer selection, 20-day public access and a noticed board hearing. [VERIFY]</w:t>
            </w:r>
          </w:p>
        </w:tc>
      </w:tr>
      <w:tr>
        <w:trPr>
          <w:cantSplit/>
        </w:trPr>
        <w:tc>
          <w:tcPr>
            <w:tcW w:type="dxa" w:w="1841"/>
            <w:tcMar>
              <w:top w:w="50" w:type="dxa"/>
              <w:left w:w="0" w:type="dxa"/>
              <w:bottom w:w="60" w:type="dxa"/>
              <w:right w:w="90" w:type="dxa"/>
            </w:tcMar>
          </w:tcPr>
          <w:p>
            <w:pPr>
              <w:spacing w:before="0" w:after="0" w:line="252" w:lineRule="auto"/>
            </w:pPr>
            <w:r>
              <w:rPr>
                <w:rFonts w:ascii="Calibri" w:hAnsi="Calibri"/>
                <w:b/>
                <w:sz w:val="19"/>
              </w:rPr>
              <w:t>C. Pilot</w:t>
            </w:r>
          </w:p>
        </w:tc>
        <w:tc>
          <w:tcPr>
            <w:tcW w:type="dxa" w:w="4493"/>
            <w:tcMar>
              <w:top w:w="50" w:type="dxa"/>
              <w:left w:w="90" w:type="dxa"/>
              <w:bottom w:w="60" w:type="dxa"/>
              <w:right w:w="90" w:type="dxa"/>
            </w:tcMar>
          </w:tcPr>
          <w:p>
            <w:pPr>
              <w:spacing w:before="0" w:after="0" w:line="252" w:lineRule="auto"/>
            </w:pPr>
            <w:r>
              <w:rPr>
                <w:rFonts w:ascii="Calibri" w:hAnsi="Calibri"/>
                <w:sz w:val="19"/>
              </w:rPr>
              <w:t>One school, one grade, one band for a semester with counselor review and a teacher debrief. Collect no student data.</w:t>
            </w:r>
          </w:p>
        </w:tc>
        <w:tc>
          <w:tcPr>
            <w:tcW w:type="dxa" w:w="3458"/>
            <w:tcMar>
              <w:top w:w="50" w:type="dxa"/>
              <w:left w:w="90" w:type="dxa"/>
              <w:bottom w:w="60" w:type="dxa"/>
              <w:right w:w="90" w:type="dxa"/>
            </w:tcMar>
          </w:tcPr>
          <w:p>
            <w:pPr>
              <w:spacing w:before="0" w:after="0" w:line="252" w:lineRule="auto"/>
            </w:pPr>
            <w:r>
              <w:rPr>
                <w:rFonts w:ascii="Calibri" w:hAnsi="Calibri"/>
                <w:sz w:val="19"/>
              </w:rPr>
              <w:t>Fits the kit's release gates.</w:t>
            </w:r>
          </w:p>
        </w:tc>
      </w:tr>
    </w:tbl>
    <w:p>
      <w:pPr>
        <w:spacing w:before="0" w:after="0" w:line="160" w:lineRule="exact"/>
      </w:pPr>
      <w:r>
        <w:rPr>
          <w:sz w:val="2"/>
        </w:rPr>
      </w:r>
    </w:p>
    <w:p>
      <w:pPr>
        <w:pStyle w:val="Heading3"/>
      </w:pPr>
      <w:r>
        <w:rPr/>
        <w:t>Steps (suggested)</w:t>
      </w:r>
    </w:p>
    <w:p>
      <w:pPr>
        <w:spacing w:before="0" w:after="60"/>
        <w:ind w:left="504" w:hanging="360"/>
      </w:pPr>
      <w:r>
        <w:rPr>
          <w:b/>
          <w:color w:val="2F6F73"/>
        </w:rPr>
        <w:t xml:space="preserve">1. </w:t>
      </w:r>
      <w:r>
        <w:rPr/>
        <w:t>District counsel reads s. 1003.42, Rule 6A-1.094124, FLDOE's effects-sm page, and this guide.</w:t>
      </w:r>
    </w:p>
    <w:p>
      <w:pPr>
        <w:spacing w:before="0" w:after="60"/>
        <w:ind w:left="504" w:hanging="360"/>
      </w:pPr>
      <w:r>
        <w:rPr>
          <w:b/>
          <w:color w:val="2F6F73"/>
        </w:rPr>
        <w:t xml:space="preserve">2. </w:t>
      </w:r>
      <w:r>
        <w:rPr/>
        <w:t>Instructional-materials office decides whether the kit needs formal review (Option B) or can be a supplement (A).</w:t>
      </w:r>
    </w:p>
    <w:p>
      <w:pPr>
        <w:spacing w:before="0" w:after="60"/>
        <w:ind w:left="504" w:hanging="360"/>
      </w:pPr>
      <w:r>
        <w:rPr>
          <w:b/>
          <w:color w:val="2F6F73"/>
        </w:rPr>
        <w:t xml:space="preserve">3. </w:t>
      </w:r>
      <w:r>
        <w:rPr/>
        <w:t>Counselors review the sensitive lessons (6-8 L6, L7, L8, P1, P2; 9-12 L5, L7, L8, P1, P2) and the opt-out toolkit.</w:t>
      </w:r>
    </w:p>
    <w:p>
      <w:pPr>
        <w:spacing w:before="0" w:after="60"/>
        <w:ind w:left="504" w:hanging="360"/>
      </w:pPr>
      <w:r>
        <w:rPr>
          <w:b/>
          <w:color w:val="2F6F73"/>
        </w:rPr>
        <w:t xml:space="preserve">4. </w:t>
      </w:r>
      <w:r>
        <w:rPr/>
        <w:t>A trafficking-prevention specialist reviews the trafficking Plus lessons (6-8 P1, 9-12 P1); a clinician or counselor reviews the mental-health Plus lessons (6-8 P2, 9-12 P2) before use. The drafts formerly called FL-1 to FL-7 are now the Plus lessons; the map is in Gap_Lesson_Stubs.md.</w:t>
      </w:r>
    </w:p>
    <w:p>
      <w:pPr>
        <w:spacing w:before="0" w:after="60"/>
        <w:ind w:left="504" w:hanging="360"/>
      </w:pPr>
      <w:r>
        <w:rPr>
          <w:b/>
          <w:color w:val="2F6F73"/>
        </w:rPr>
        <w:t xml:space="preserve">5. </w:t>
      </w:r>
      <w:r>
        <w:rPr/>
        <w:t>Superintendent or designee updates the Required Instruction Implementation Plan for the next July 1 submission (Section 5).</w:t>
      </w:r>
    </w:p>
    <w:p>
      <w:pPr>
        <w:spacing w:before="0" w:after="60"/>
        <w:ind w:left="504" w:hanging="360"/>
      </w:pPr>
      <w:r>
        <w:rPr>
          <w:b/>
          <w:color w:val="2F6F73"/>
        </w:rPr>
        <w:t xml:space="preserve">6. </w:t>
      </w:r>
      <w:r>
        <w:rPr/>
        <w:t>District updates its website notice (Section 4.2) and sends the family pre-notice for sensitive lessons.</w:t>
      </w:r>
    </w:p>
    <w:p>
      <w:pPr>
        <w:spacing w:before="0" w:after="60"/>
        <w:ind w:left="504" w:hanging="360"/>
      </w:pPr>
      <w:r>
        <w:rPr>
          <w:b/>
          <w:color w:val="2F6F73"/>
        </w:rPr>
        <w:t xml:space="preserve">7. </w:t>
      </w:r>
      <w:r>
        <w:rPr/>
        <w:t>Staff complete s. 1006.481 training and confirm their reporting routes.</w:t>
      </w:r>
    </w:p>
    <w:p>
      <w:pPr>
        <w:spacing w:before="0" w:after="60"/>
        <w:ind w:left="504" w:hanging="360"/>
      </w:pPr>
      <w:r>
        <w:rPr>
          <w:b/>
          <w:color w:val="2F6F73"/>
        </w:rPr>
        <w:t xml:space="preserve">8. </w:t>
      </w:r>
      <w:r>
        <w:rPr/>
        <w:t>Teach; keep the class-level compliance log (Section 8).</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04  </w:t>
      </w:r>
      <w:r>
        <w:rPr/>
        <w:t>Sample language (edit with district counsel)</w:t>
      </w:r>
    </w:p>
    <w:p>
      <w:pPr>
        <w:pStyle w:val="Heading3"/>
      </w:pPr>
      <w:r>
        <w:rPr/>
        <w:t>4.1 Board memo language (sample)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Subject: Supplemental resource for required instruction on the effects of social media (grades 6-12)</w:t>
            </w:r>
          </w:p>
          <w:p>
            <w:pPr>
              <w:spacing w:before="80" w:after="60" w:line="259" w:lineRule="auto"/>
            </w:pPr>
            <w:r>
              <w:rPr>
                <w:b/>
                <w:sz w:val="19"/>
              </w:rPr>
              <w:t>Background.</w:t>
            </w:r>
            <w:r>
              <w:rPr>
                <w:sz w:val="19"/>
              </w:rPr>
              <w:t xml:space="preserve"> Section 1003.42(2)(o)5., Florida Statutes, requires instruction for students in grades 6 through 12 on the social, emotional, and physical effects of social media, including the negative effects on mental health (including addiction), misinformation, how social media manipulates behavior, the permanency of sharing materials online, personal security and identifying cyberbullying, predatory behavior and human trafficking, and how to report suspicious behavior. The Department of Education makes instructional materials available online, and the board must notify parents of their availability.</w:t>
            </w:r>
          </w:p>
          <w:p>
            <w:pPr>
              <w:spacing w:before="80" w:after="60" w:line="259" w:lineRule="auto"/>
            </w:pPr>
            <w:r>
              <w:rPr>
                <w:b/>
                <w:sz w:val="19"/>
              </w:rPr>
              <w:t>Proposal.</w:t>
            </w:r>
            <w:r>
              <w:rPr>
                <w:sz w:val="19"/>
              </w:rPr>
              <w:t xml:space="preserve"> Staff recommends using Hackles, a free, unplugged online-safety kit published by Competence Collective under a CC BY-NC 4.0 license, as a supplemental classroom resource alongside the Department's Effects of Social Media Instructional Guide. Hackles uses 15-minute scripted lessons, collects no student data, requires no student accounts and does not use district devices or networks.</w:t>
            </w:r>
          </w:p>
          <w:p>
            <w:pPr>
              <w:spacing w:before="80" w:after="60" w:line="259" w:lineRule="auto"/>
            </w:pPr>
            <w:r>
              <w:rPr>
                <w:b/>
                <w:sz w:val="19"/>
              </w:rPr>
              <w:t>Limits.</w:t>
            </w:r>
            <w:r>
              <w:rPr>
                <w:sz w:val="19"/>
              </w:rPr>
              <w:t xml:space="preserve"> Hackles is not approved or endorsed by the Department of Education. The kit as published does not cover every statutory component; staff will [use the following additional lessons: ______ / use other approved materials for: ______]. Sensitive lessons will be preceded by a counselor review and family notice, with an alternate activity available on request.</w:t>
            </w:r>
          </w:p>
          <w:p>
            <w:pPr>
              <w:spacing w:before="80" w:after="60" w:line="259" w:lineRule="auto"/>
            </w:pPr>
            <w:r>
              <w:rPr>
                <w:b/>
                <w:sz w:val="19"/>
              </w:rPr>
              <w:t>Fiscal impact.</w:t>
            </w:r>
            <w:r>
              <w:rPr>
                <w:sz w:val="19"/>
              </w:rPr>
              <w:t xml:space="preserve"> None for the kit itself [staff time and printing: ______].</w:t>
            </w:r>
          </w:p>
          <w:p>
            <w:pPr>
              <w:spacing w:before="80" w:after="60" w:line="259" w:lineRule="auto"/>
            </w:pPr>
            <w:r>
              <w:rPr>
                <w:b/>
                <w:sz w:val="19"/>
              </w:rPr>
              <w:t>Recommended action.</w:t>
            </w:r>
            <w:r>
              <w:rPr>
                <w:sz w:val="19"/>
              </w:rPr>
              <w:t xml:space="preserve"> [Approve use of Hackles as a supplemental resource for ______ (grades/courses) beginning ______ / Direct staff to complete counsel and counselor review and return for action by ______.]</w:t>
            </w:r>
          </w:p>
        </w:tc>
      </w:tr>
    </w:tbl>
    <w:p>
      <w:pPr>
        <w:spacing w:before="0" w:after="0" w:line="160" w:lineRule="exact"/>
      </w:pPr>
      <w:r>
        <w:rPr>
          <w:sz w:val="2"/>
        </w:rPr>
      </w:r>
    </w:p>
    <w:p>
      <w:pPr>
        <w:pStyle w:val="Heading3"/>
      </w:pPr>
      <w:r>
        <w:rPr/>
        <w:t>4.2 Required parent notice (website homepage and school letter)</w:t>
      </w:r>
    </w:p>
    <w:p>
      <w:r>
        <w:rPr/>
        <w:t>The statute requires districts to "notify parents of its availability." Suggested text: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Required instruction: effects of social media (grades 6-12).</w:t>
            </w:r>
            <w:r>
              <w:rPr>
                <w:sz w:val="19"/>
              </w:rPr>
              <w:t xml:space="preserve"> Florida law requires schools to teach students in grades 6 through 12 about the effects of social media, including its effects on mental health, misinformation, how social media influences behavior, the permanence of what is shared online, staying safe from cyberbullying, predatory behavior and human trafficking, and how to report suspicious behavior online. The Florida Department of Education provides the instructional materials online: https://www.fldoe.org/academics/standards/instructional-materials/effects-sm.stml. [District name] also uses [list any supplemental resources, e.g., Hackles, a free classroom kit], which are available for parent review at [district link or contact]. To ask questions or review lessons, contact [name, title, phone, email].</w:t>
            </w:r>
          </w:p>
        </w:tc>
      </w:tr>
    </w:tbl>
    <w:p>
      <w:pPr>
        <w:spacing w:before="0" w:after="0" w:line="160" w:lineRule="exact"/>
      </w:pPr>
      <w:r>
        <w:rPr>
          <w:sz w:val="2"/>
        </w:rPr>
      </w:r>
    </w:p>
    <w:p>
      <w:r>
        <w:rPr/>
        <w:t>(The FLDOE URL above was read on 2026-10-05. [VERIFIED 2026-10-05: fldoe.org effects-sm.stml] Place the notice on the district website homepage per FLDOE's page. Send it again in the first-week family letter. Provide it in the district's major home languages.)</w:t>
      </w:r>
    </w:p>
    <w:p>
      <w:pPr>
        <w:pStyle w:val="Heading3"/>
      </w:pPr>
      <w:r>
        <w:rPr/>
        <w:t>4.3 Family pre-notice for sensitive lessons</w:t>
      </w:r>
    </w:p>
    <w:p>
      <w:r>
        <w:rPr/>
        <w:t>Use the kit's existing letters (6-8 Teacher Guide Appendix A for Lessons 7 and 8; 9-12 Reproducibles R11 for Lessons 5 and 7) and the equivalent letters for the Plus lessons, which are now in the 6-8 Teacher Guide Appendix A (Letters 3 and 4) and the 9-12 Reproducibles R12-C. Template to adapt (trafficking example):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[School letterhead] Date: ______</w:t>
            </w:r>
          </w:p>
          <w:p>
            <w:pPr>
              <w:spacing w:before="80" w:after="60" w:line="259" w:lineRule="auto"/>
            </w:pPr>
            <w:r>
              <w:rPr>
                <w:sz w:val="19"/>
              </w:rPr>
              <w:t>Dear Families,</w:t>
            </w:r>
          </w:p>
          <w:p>
            <w:pPr>
              <w:spacing w:before="80" w:after="60" w:line="259" w:lineRule="auto"/>
            </w:pPr>
            <w:r>
              <w:rPr>
                <w:sz w:val="19"/>
              </w:rPr>
              <w:t>In the next week or two, your child's [grade] class will take part in a 15-minute lesson called "Offers That Don't Add Up." It is part of our required instruction on the effects of social media (Florida Statutes s. 1003.42).</w:t>
            </w:r>
          </w:p>
          <w:p>
            <w:pPr>
              <w:spacing w:before="80" w:after="60" w:line="259" w:lineRule="auto"/>
            </w:pPr>
            <w:r>
              <w:rPr>
                <w:b/>
                <w:sz w:val="19"/>
              </w:rPr>
              <w:t>What the lesson covers:</w:t>
            </w:r>
            <w:r>
              <w:rPr>
                <w:sz w:val="19"/>
              </w:rPr>
              <w:t xml:space="preserve"> warning signs of online offers that are too good, secret or pushy, how people can use tricks and pressure to control others (human trafficking), and who a young person can tell. Students practice noticing flags and saying "I need help with something online."</w:t>
            </w:r>
          </w:p>
          <w:p>
            <w:pPr>
              <w:spacing w:before="80" w:after="60" w:line="259" w:lineRule="auto"/>
            </w:pPr>
            <w:r>
              <w:rPr>
                <w:b/>
                <w:sz w:val="19"/>
              </w:rPr>
              <w:t>What it does not include:</w:t>
            </w:r>
            <w:r>
              <w:rPr>
                <w:sz w:val="19"/>
              </w:rPr>
              <w:t xml:space="preserve"> no pictures, no explicit content, no stories of real people, no real cases, no personal stories. Students are never asked to share anything about themselves.</w:t>
            </w:r>
          </w:p>
          <w:p>
            <w:pPr>
              <w:spacing w:before="80" w:after="60" w:line="259" w:lineRule="auto"/>
            </w:pPr>
            <w:r>
              <w:rPr>
                <w:b/>
                <w:sz w:val="19"/>
              </w:rPr>
              <w:t>Why we teach it:</w:t>
            </w:r>
            <w:r>
              <w:rPr>
                <w:sz w:val="19"/>
              </w:rPr>
              <w:t xml:space="preserve"> Florida requires instruction on how to identify human trafficking and report suspicious behavior online. The most important message is that it is never a young person's fault and that telling is never too late.</w:t>
            </w:r>
          </w:p>
          <w:p>
            <w:pPr>
              <w:spacing w:before="80" w:after="60" w:line="259" w:lineRule="auto"/>
            </w:pPr>
            <w:r>
              <w:rPr>
                <w:b/>
                <w:sz w:val="19"/>
              </w:rPr>
              <w:t>Support:</w:t>
            </w:r>
            <w:r>
              <w:rPr>
                <w:sz w:val="19"/>
              </w:rPr>
              <w:t xml:space="preserve"> [Counselor name and contact] will be available that day and afterward. To report suspected trafficking in Florida: 1-855-FLA-SAFE (1-855-352-7233). Florida Abuse Hotline: 1-800-962-2873. National Human Trafficking Hotline: 1-888-373-7888. In danger: 911.</w:t>
            </w:r>
          </w:p>
          <w:p>
            <w:pPr>
              <w:spacing w:before="80" w:after="60" w:line="259" w:lineRule="auto"/>
            </w:pPr>
            <w:r>
              <w:rPr>
                <w:b/>
                <w:sz w:val="19"/>
              </w:rPr>
              <w:t>Questions or review:</w:t>
            </w:r>
            <w:r>
              <w:rPr>
                <w:sz w:val="19"/>
              </w:rPr>
              <w:t xml:space="preserve"> contact [name, email, phone] to review the lesson.</w:t>
            </w:r>
          </w:p>
          <w:p>
            <w:pPr>
              <w:spacing w:before="80" w:after="60" w:line="259" w:lineRule="auto"/>
            </w:pPr>
            <w:r>
              <w:rPr>
                <w:b/>
                <w:sz w:val="19"/>
              </w:rPr>
              <w:t>Alternate activity:</w:t>
            </w:r>
            <w:r>
              <w:rPr>
                <w:sz w:val="19"/>
              </w:rPr>
              <w:t xml:space="preserve"> [Per district policy] families may ask for an alternate activity on the same skills, using a non-exploitation scenario. No reason is needed. Return the slip below by [date].</w:t>
            </w:r>
          </w:p>
          <w:p>
            <w:pPr>
              <w:spacing w:before="80" w:after="60" w:line="259" w:lineRule="auto"/>
            </w:pPr>
            <w:r>
              <w:rPr>
                <w:sz w:val="19"/>
              </w:rPr>
              <w:t>[Name, title, contact]</w:t>
            </w:r>
          </w:p>
        </w:tc>
      </w:tr>
    </w:tbl>
    <w:p>
      <w:pPr>
        <w:spacing w:before="0" w:after="0" w:line="160" w:lineRule="exact"/>
      </w:pPr>
      <w:r>
        <w:rPr>
          <w:sz w:val="2"/>
        </w:rPr>
      </w:r>
    </w:p>
    <w:p>
      <w:r>
        <w:rPr/>
        <w:t>(Hotline numbers: [VERIFIED 2026-10-05: myflfamilies.com; fdle.state.fl.us; humantraffickinghotline.org/en/contact].) Send sensitive-lesson letters at least 5 school days ahead, in home languages, and send the family card to every family after the lesson including those who opted out. [Kit rule]</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05  </w:t>
      </w:r>
      <w:r>
        <w:rPr/>
        <w:t>Sample entries for the Required Instruction Implementation Plan</w:t>
      </w:r>
    </w:p>
    <w:p>
      <w:r>
        <w:rPr/>
        <w:t>I did not read FLDOE's plan template (2026-52A) or the portal form. The rule requires (a) methods of delivery per grade, (b) professional qualifications of the person delivering instruction and (c) a description of materials and resources. [VERIFIED 2026-10-05: Rule 6A-1.094124(2)] The wording below is a starting point; use the template's own fields. [VERIFY]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98"/>
        <w:gridCol w:w="7694"/>
      </w:tblGrid>
      <w:tr>
        <w:trPr>
          <w:tblHeader/>
          <w:cantSplit/>
        </w:trPr>
        <w:tc>
          <w:tcPr>
            <w:tcW w:type="dxa" w:w="209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76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SAMPLE WORDING</w:t>
            </w:r>
          </w:p>
        </w:tc>
      </w:tr>
      <w:tr>
        <w:trPr>
          <w:cantSplit/>
        </w:trPr>
        <w:tc>
          <w:tcPr>
            <w:tcW w:type="dxa" w:w="2098"/>
            <w:tcMar>
              <w:top w:w="50" w:type="dxa"/>
              <w:left w:w="0" w:type="dxa"/>
              <w:bottom w:w="60" w:type="dxa"/>
              <w:right w:w="90" w:type="dxa"/>
            </w:tcMar>
          </w:tcPr>
          <w:p>
            <w:pPr>
              <w:spacing w:before="0" w:after="0" w:line="252" w:lineRule="auto"/>
            </w:pPr>
            <w:r>
              <w:rPr>
                <w:rFonts w:ascii="Calibri" w:hAnsi="Calibri"/>
                <w:sz w:val="19"/>
              </w:rPr>
              <w:t>Methods of delivery (grades 6, 7, 8)</w:t>
            </w:r>
          </w:p>
        </w:tc>
        <w:tc>
          <w:tcPr>
            <w:tcW w:type="dxa" w:w="7694"/>
            <w:tcMar>
              <w:top w:w="50" w:type="dxa"/>
              <w:left w:w="90" w:type="dxa"/>
              <w:bottom w:w="60" w:type="dxa"/>
              <w:right w:w="90" w:type="dxa"/>
            </w:tcMar>
          </w:tcPr>
          <w:p>
            <w:pPr>
              <w:spacing w:before="0" w:after="0" w:line="252" w:lineRule="auto"/>
            </w:pPr>
            <w:r>
              <w:rPr>
                <w:rFonts w:ascii="Calibri" w:hAnsi="Calibri"/>
                <w:sz w:val="19"/>
              </w:rPr>
              <w:t>"Teacher-led, 15-minute scripted lessons delivered in [advisory / health / ELA / computer science] on a [weekly] schedule, [8-9] lessons per year, using small-group sorting activities, role-play and discussion; no student devices required."</w:t>
            </w:r>
          </w:p>
        </w:tc>
      </w:tr>
      <w:tr>
        <w:trPr>
          <w:cantSplit/>
        </w:trPr>
        <w:tc>
          <w:tcPr>
            <w:tcW w:type="dxa" w:w="2098"/>
            <w:tcMar>
              <w:top w:w="50" w:type="dxa"/>
              <w:left w:w="0" w:type="dxa"/>
              <w:bottom w:w="60" w:type="dxa"/>
              <w:right w:w="90" w:type="dxa"/>
            </w:tcMar>
          </w:tcPr>
          <w:p>
            <w:pPr>
              <w:spacing w:before="0" w:after="0" w:line="252" w:lineRule="auto"/>
            </w:pPr>
            <w:r>
              <w:rPr>
                <w:rFonts w:ascii="Calibri" w:hAnsi="Calibri"/>
                <w:sz w:val="19"/>
              </w:rPr>
              <w:t>Methods (grades 9-12)</w:t>
            </w:r>
          </w:p>
        </w:tc>
        <w:tc>
          <w:tcPr>
            <w:tcW w:type="dxa" w:w="7694"/>
            <w:tcMar>
              <w:top w:w="50" w:type="dxa"/>
              <w:left w:w="90" w:type="dxa"/>
              <w:bottom w:w="60" w:type="dxa"/>
              <w:right w:w="90" w:type="dxa"/>
            </w:tcMar>
          </w:tcPr>
          <w:p>
            <w:pPr>
              <w:spacing w:before="0" w:after="0" w:line="252" w:lineRule="auto"/>
            </w:pPr>
            <w:r>
              <w:rPr>
                <w:rFonts w:ascii="Calibri" w:hAnsi="Calibri"/>
                <w:sz w:val="19"/>
              </w:rPr>
              <w:t>"Teacher-led 15-minute lessons delivered in [health / advisory / CS / English] in [grade ___], [9] lessons, using scenario analysis, role-play and discussion."</w:t>
            </w:r>
          </w:p>
        </w:tc>
      </w:tr>
      <w:tr>
        <w:trPr>
          <w:cantSplit/>
        </w:trPr>
        <w:tc>
          <w:tcPr>
            <w:tcW w:type="dxa" w:w="2098"/>
            <w:tcMar>
              <w:top w:w="50" w:type="dxa"/>
              <w:left w:w="0" w:type="dxa"/>
              <w:bottom w:w="60" w:type="dxa"/>
              <w:right w:w="90" w:type="dxa"/>
            </w:tcMar>
          </w:tcPr>
          <w:p>
            <w:pPr>
              <w:spacing w:before="0" w:after="0" w:line="252" w:lineRule="auto"/>
            </w:pPr>
            <w:r>
              <w:rPr>
                <w:rFonts w:ascii="Calibri" w:hAnsi="Calibri"/>
                <w:sz w:val="19"/>
              </w:rPr>
              <w:t>Qualifications</w:t>
            </w:r>
          </w:p>
        </w:tc>
        <w:tc>
          <w:tcPr>
            <w:tcW w:type="dxa" w:w="7694"/>
            <w:tcMar>
              <w:top w:w="50" w:type="dxa"/>
              <w:left w:w="90" w:type="dxa"/>
              <w:bottom w:w="60" w:type="dxa"/>
              <w:right w:w="90" w:type="dxa"/>
            </w:tcMar>
          </w:tcPr>
          <w:p>
            <w:pPr>
              <w:spacing w:before="0" w:after="0" w:line="252" w:lineRule="auto"/>
            </w:pPr>
            <w:r>
              <w:rPr>
                <w:rFonts w:ascii="Calibri" w:hAnsi="Calibri"/>
                <w:sz w:val="19"/>
              </w:rPr>
              <w:t>"Certified instructional personnel in [subject]; school counselor available for sensitive lessons; all instructional staff have completed human trafficking awareness training under s. 1006.481 and annual child abuse reporting training." [Confirm what applies in your district]</w:t>
            </w:r>
          </w:p>
        </w:tc>
      </w:tr>
      <w:tr>
        <w:trPr>
          <w:cantSplit/>
        </w:trPr>
        <w:tc>
          <w:tcPr>
            <w:tcW w:type="dxa" w:w="2098"/>
            <w:tcMar>
              <w:top w:w="50" w:type="dxa"/>
              <w:left w:w="0" w:type="dxa"/>
              <w:bottom w:w="60" w:type="dxa"/>
              <w:right w:w="90" w:type="dxa"/>
            </w:tcMar>
          </w:tcPr>
          <w:p>
            <w:pPr>
              <w:spacing w:before="0" w:after="0" w:line="252" w:lineRule="auto"/>
            </w:pPr>
            <w:r>
              <w:rPr>
                <w:rFonts w:ascii="Calibri" w:hAnsi="Calibri"/>
                <w:sz w:val="19"/>
              </w:rPr>
              <w:t>Materials and resources</w:t>
            </w:r>
          </w:p>
        </w:tc>
        <w:tc>
          <w:tcPr>
            <w:tcW w:type="dxa" w:w="7694"/>
            <w:tcMar>
              <w:top w:w="50" w:type="dxa"/>
              <w:left w:w="90" w:type="dxa"/>
              <w:bottom w:w="60" w:type="dxa"/>
              <w:right w:w="90" w:type="dxa"/>
            </w:tcMar>
          </w:tcPr>
          <w:p>
            <w:pPr>
              <w:spacing w:before="0" w:after="0" w:line="252" w:lineRule="auto"/>
            </w:pPr>
            <w:r>
              <w:rPr>
                <w:rFonts w:ascii="Calibri" w:hAnsi="Calibri"/>
                <w:sz w:val="19"/>
              </w:rPr>
              <w:t>"FLDOE Effects of Social Media Instructional Guide and A Student's Guide to Internet Safety; supplemental: Hackles, a free classroom kit by Competence Collective (not endorsed by FLDOE) [list lessons used]; [list any other approved materials for components not covered]."</w:t>
            </w:r>
          </w:p>
        </w:tc>
      </w:tr>
      <w:tr>
        <w:trPr>
          <w:cantSplit/>
        </w:trPr>
        <w:tc>
          <w:tcPr>
            <w:tcW w:type="dxa" w:w="2098"/>
            <w:tcMar>
              <w:top w:w="50" w:type="dxa"/>
              <w:left w:w="0" w:type="dxa"/>
              <w:bottom w:w="60" w:type="dxa"/>
              <w:right w:w="90" w:type="dxa"/>
            </w:tcMar>
          </w:tcPr>
          <w:p>
            <w:pPr>
              <w:spacing w:before="0" w:after="0" w:line="252" w:lineRule="auto"/>
            </w:pPr>
            <w:r>
              <w:rPr>
                <w:rFonts w:ascii="Calibri" w:hAnsi="Calibri"/>
                <w:sz w:val="19"/>
              </w:rPr>
              <w:t>Parent notification</w:t>
            </w:r>
          </w:p>
        </w:tc>
        <w:tc>
          <w:tcPr>
            <w:tcW w:type="dxa" w:w="7694"/>
            <w:tcMar>
              <w:top w:w="50" w:type="dxa"/>
              <w:left w:w="90" w:type="dxa"/>
              <w:bottom w:w="60" w:type="dxa"/>
              <w:right w:w="90" w:type="dxa"/>
            </w:tcMar>
          </w:tcPr>
          <w:p>
            <w:pPr>
              <w:spacing w:before="0" w:after="0" w:line="252" w:lineRule="auto"/>
            </w:pPr>
            <w:r>
              <w:rPr>
                <w:rFonts w:ascii="Calibri" w:hAnsi="Calibri"/>
                <w:sz w:val="19"/>
              </w:rPr>
              <w:t>"District website homepage notice with link to the FLDOE materials; family letters before sensitive lessons; materials available for parent review at [contact]."</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06  </w:t>
      </w:r>
      <w:r>
        <w:rPr/>
        <w:t>Scheduling and pacing options</w:t>
      </w:r>
    </w:p>
    <w:p>
      <w:r>
        <w:rPr/>
        <w:t>The kit's own pacing rule: one 15-minute lesson per week, sensitive lessons mid-week, not last period, with at least two school days between sensitive lessons and a counselor on call. [Kit Teacher Guides]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16"/>
        <w:gridCol w:w="3671"/>
        <w:gridCol w:w="4105"/>
      </w:tblGrid>
      <w:tr>
        <w:trPr>
          <w:tblHeader/>
          <w:cantSplit/>
        </w:trPr>
        <w:tc>
          <w:tcPr>
            <w:tcW w:type="dxa" w:w="20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OPTION</w:t>
            </w:r>
          </w:p>
        </w:tc>
        <w:tc>
          <w:tcPr>
            <w:tcW w:type="dxa" w:w="36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PACE</w:t>
            </w:r>
          </w:p>
        </w:tc>
        <w:tc>
          <w:tcPr>
            <w:tcW w:type="dxa" w:w="41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 WHEN</w:t>
            </w:r>
          </w:p>
        </w:tc>
      </w:tr>
      <w:tr>
        <w:trPr>
          <w:cantSplit/>
        </w:trPr>
        <w:tc>
          <w:tcPr>
            <w:tcW w:type="dxa" w:w="2016"/>
            <w:tcMar>
              <w:top w:w="50" w:type="dxa"/>
              <w:left w:w="0" w:type="dxa"/>
              <w:bottom w:w="60" w:type="dxa"/>
              <w:right w:w="90" w:type="dxa"/>
            </w:tcMar>
          </w:tcPr>
          <w:p>
            <w:pPr>
              <w:spacing w:before="0" w:after="0" w:line="252" w:lineRule="auto"/>
            </w:pPr>
            <w:r>
              <w:rPr>
                <w:rFonts w:ascii="Calibri" w:hAnsi="Calibri"/>
                <w:b/>
                <w:sz w:val="19"/>
              </w:rPr>
              <w:t>Weekly</w:t>
            </w:r>
          </w:p>
        </w:tc>
        <w:tc>
          <w:tcPr>
            <w:tcW w:type="dxa" w:w="3671"/>
            <w:tcMar>
              <w:top w:w="50" w:type="dxa"/>
              <w:left w:w="90" w:type="dxa"/>
              <w:bottom w:w="60" w:type="dxa"/>
              <w:right w:w="90" w:type="dxa"/>
            </w:tcMar>
          </w:tcPr>
          <w:p>
            <w:pPr>
              <w:spacing w:before="0" w:after="0" w:line="252" w:lineRule="auto"/>
            </w:pPr>
            <w:r>
              <w:rPr>
                <w:rFonts w:ascii="Calibri" w:hAnsi="Calibri"/>
                <w:sz w:val="19"/>
              </w:rPr>
              <w:t>1 lesson per week, 9-10 weeks</w:t>
            </w:r>
          </w:p>
        </w:tc>
        <w:tc>
          <w:tcPr>
            <w:tcW w:type="dxa" w:w="4105"/>
            <w:tcMar>
              <w:top w:w="50" w:type="dxa"/>
              <w:left w:w="90" w:type="dxa"/>
              <w:bottom w:w="60" w:type="dxa"/>
              <w:right w:w="90" w:type="dxa"/>
            </w:tcMar>
          </w:tcPr>
          <w:p>
            <w:pPr>
              <w:spacing w:before="0" w:after="0" w:line="252" w:lineRule="auto"/>
            </w:pPr>
            <w:r>
              <w:rPr>
                <w:rFonts w:ascii="Calibri" w:hAnsi="Calibri"/>
                <w:sz w:val="19"/>
              </w:rPr>
              <w:t>Advisory, homeroom, health, CS</w:t>
            </w:r>
          </w:p>
        </w:tc>
      </w:tr>
      <w:tr>
        <w:trPr>
          <w:cantSplit/>
        </w:trPr>
        <w:tc>
          <w:tcPr>
            <w:tcW w:type="dxa" w:w="2016"/>
            <w:tcMar>
              <w:top w:w="50" w:type="dxa"/>
              <w:left w:w="0" w:type="dxa"/>
              <w:bottom w:w="60" w:type="dxa"/>
              <w:right w:w="90" w:type="dxa"/>
            </w:tcMar>
          </w:tcPr>
          <w:p>
            <w:pPr>
              <w:spacing w:before="0" w:after="0" w:line="252" w:lineRule="auto"/>
            </w:pPr>
            <w:r>
              <w:rPr>
                <w:rFonts w:ascii="Calibri" w:hAnsi="Calibri"/>
                <w:b/>
                <w:sz w:val="19"/>
              </w:rPr>
              <w:t>Twice weekly</w:t>
            </w:r>
          </w:p>
        </w:tc>
        <w:tc>
          <w:tcPr>
            <w:tcW w:type="dxa" w:w="3671"/>
            <w:tcMar>
              <w:top w:w="50" w:type="dxa"/>
              <w:left w:w="90" w:type="dxa"/>
              <w:bottom w:w="60" w:type="dxa"/>
              <w:right w:w="90" w:type="dxa"/>
            </w:tcMar>
          </w:tcPr>
          <w:p>
            <w:pPr>
              <w:spacing w:before="0" w:after="0" w:line="252" w:lineRule="auto"/>
            </w:pPr>
            <w:r>
              <w:rPr>
                <w:rFonts w:ascii="Calibri" w:hAnsi="Calibri"/>
                <w:sz w:val="19"/>
              </w:rPr>
              <w:t>2 x 15 minutes, 5 weeks</w:t>
            </w:r>
          </w:p>
        </w:tc>
        <w:tc>
          <w:tcPr>
            <w:tcW w:type="dxa" w:w="4105"/>
            <w:tcMar>
              <w:top w:w="50" w:type="dxa"/>
              <w:left w:w="90" w:type="dxa"/>
              <w:bottom w:w="60" w:type="dxa"/>
              <w:right w:w="90" w:type="dxa"/>
            </w:tcMar>
          </w:tcPr>
          <w:p>
            <w:pPr>
              <w:spacing w:before="0" w:after="0" w:line="252" w:lineRule="auto"/>
            </w:pPr>
            <w:r>
              <w:rPr>
                <w:rFonts w:ascii="Calibri" w:hAnsi="Calibri"/>
                <w:sz w:val="19"/>
              </w:rPr>
              <w:t>Advisory blocks</w:t>
            </w:r>
          </w:p>
        </w:tc>
      </w:tr>
      <w:tr>
        <w:trPr>
          <w:cantSplit/>
        </w:trPr>
        <w:tc>
          <w:tcPr>
            <w:tcW w:type="dxa" w:w="2016"/>
            <w:tcMar>
              <w:top w:w="50" w:type="dxa"/>
              <w:left w:w="0" w:type="dxa"/>
              <w:bottom w:w="60" w:type="dxa"/>
              <w:right w:w="90" w:type="dxa"/>
            </w:tcMar>
          </w:tcPr>
          <w:p>
            <w:pPr>
              <w:spacing w:before="0" w:after="0" w:line="252" w:lineRule="auto"/>
            </w:pPr>
            <w:r>
              <w:rPr>
                <w:rFonts w:ascii="Calibri" w:hAnsi="Calibri"/>
                <w:b/>
                <w:sz w:val="19"/>
              </w:rPr>
              <w:t>Semester course tie-in</w:t>
            </w:r>
          </w:p>
        </w:tc>
        <w:tc>
          <w:tcPr>
            <w:tcW w:type="dxa" w:w="3671"/>
            <w:tcMar>
              <w:top w:w="50" w:type="dxa"/>
              <w:left w:w="90" w:type="dxa"/>
              <w:bottom w:w="60" w:type="dxa"/>
              <w:right w:w="90" w:type="dxa"/>
            </w:tcMar>
          </w:tcPr>
          <w:p>
            <w:pPr>
              <w:spacing w:before="0" w:after="0" w:line="252" w:lineRule="auto"/>
            </w:pPr>
            <w:r>
              <w:rPr>
                <w:rFonts w:ascii="Calibri" w:hAnsi="Calibri"/>
                <w:sz w:val="19"/>
              </w:rPr>
              <w:t>One 45-minute block per week with the extended-block options</w:t>
            </w:r>
          </w:p>
        </w:tc>
        <w:tc>
          <w:tcPr>
            <w:tcW w:type="dxa" w:w="4105"/>
            <w:tcMar>
              <w:top w:w="50" w:type="dxa"/>
              <w:left w:w="90" w:type="dxa"/>
              <w:bottom w:w="60" w:type="dxa"/>
              <w:right w:w="90" w:type="dxa"/>
            </w:tcMar>
          </w:tcPr>
          <w:p>
            <w:pPr>
              <w:spacing w:before="0" w:after="0" w:line="252" w:lineRule="auto"/>
            </w:pPr>
            <w:r>
              <w:rPr>
                <w:rFonts w:ascii="Calibri" w:hAnsi="Calibri"/>
                <w:sz w:val="19"/>
              </w:rPr>
              <w:t>Health or CS course</w:t>
            </w:r>
          </w:p>
        </w:tc>
      </w:tr>
      <w:tr>
        <w:trPr>
          <w:cantSplit/>
        </w:trPr>
        <w:tc>
          <w:tcPr>
            <w:tcW w:type="dxa" w:w="2016"/>
            <w:tcMar>
              <w:top w:w="50" w:type="dxa"/>
              <w:left w:w="0" w:type="dxa"/>
              <w:bottom w:w="60" w:type="dxa"/>
              <w:right w:w="90" w:type="dxa"/>
            </w:tcMar>
          </w:tcPr>
          <w:p>
            <w:pPr>
              <w:spacing w:before="0" w:after="0" w:line="252" w:lineRule="auto"/>
            </w:pPr>
            <w:r>
              <w:rPr>
                <w:rFonts w:ascii="Calibri" w:hAnsi="Calibri"/>
                <w:b/>
                <w:sz w:val="19"/>
              </w:rPr>
              <w:t>Event</w:t>
            </w:r>
          </w:p>
        </w:tc>
        <w:tc>
          <w:tcPr>
            <w:tcW w:type="dxa" w:w="3671"/>
            <w:tcMar>
              <w:top w:w="50" w:type="dxa"/>
              <w:left w:w="90" w:type="dxa"/>
              <w:bottom w:w="60" w:type="dxa"/>
              <w:right w:w="90" w:type="dxa"/>
            </w:tcMar>
          </w:tcPr>
          <w:p>
            <w:pPr>
              <w:spacing w:before="0" w:after="0" w:line="252" w:lineRule="auto"/>
            </w:pPr>
            <w:r>
              <w:rPr>
                <w:rFonts w:ascii="Calibri" w:hAnsi="Calibri"/>
                <w:sz w:val="19"/>
              </w:rPr>
              <w:t>Hackles Day stations from selected lessons</w:t>
            </w:r>
          </w:p>
        </w:tc>
        <w:tc>
          <w:tcPr>
            <w:tcW w:type="dxa" w:w="4105"/>
            <w:tcMar>
              <w:top w:w="50" w:type="dxa"/>
              <w:left w:w="90" w:type="dxa"/>
              <w:bottom w:w="60" w:type="dxa"/>
              <w:right w:w="90" w:type="dxa"/>
            </w:tcMar>
          </w:tcPr>
          <w:p>
            <w:pPr>
              <w:spacing w:before="0" w:after="0" w:line="252" w:lineRule="auto"/>
            </w:pPr>
            <w:r>
              <w:rPr>
                <w:rFonts w:ascii="Calibri" w:hAnsi="Calibri"/>
                <w:sz w:val="19"/>
              </w:rPr>
              <w:t>School-wide event; do not run sensitive lessons as stations</w:t>
            </w:r>
          </w:p>
        </w:tc>
      </w:tr>
      <w:tr>
        <w:trPr>
          <w:cantSplit/>
        </w:trPr>
        <w:tc>
          <w:tcPr>
            <w:tcW w:type="dxa" w:w="2016"/>
            <w:tcMar>
              <w:top w:w="50" w:type="dxa"/>
              <w:left w:w="0" w:type="dxa"/>
              <w:bottom w:w="60" w:type="dxa"/>
              <w:right w:w="90" w:type="dxa"/>
            </w:tcMar>
          </w:tcPr>
          <w:p>
            <w:pPr>
              <w:spacing w:before="0" w:after="0" w:line="252" w:lineRule="auto"/>
            </w:pPr>
            <w:r>
              <w:rPr>
                <w:rFonts w:ascii="Calibri" w:hAnsi="Calibri"/>
                <w:b/>
                <w:sz w:val="19"/>
              </w:rPr>
              <w:t>Rotation across grade levels</w:t>
            </w:r>
          </w:p>
        </w:tc>
        <w:tc>
          <w:tcPr>
            <w:tcW w:type="dxa" w:w="3671"/>
            <w:tcMar>
              <w:top w:w="50" w:type="dxa"/>
              <w:left w:w="90" w:type="dxa"/>
              <w:bottom w:w="60" w:type="dxa"/>
              <w:right w:w="90" w:type="dxa"/>
            </w:tcMar>
          </w:tcPr>
          <w:p>
            <w:pPr>
              <w:spacing w:before="0" w:after="0" w:line="252" w:lineRule="auto"/>
            </w:pPr>
            <w:r>
              <w:rPr>
                <w:rFonts w:ascii="Calibri" w:hAnsi="Calibri"/>
                <w:sz w:val="19"/>
              </w:rPr>
              <w:t>Pathway A or B in the crosswalk</w:t>
            </w:r>
          </w:p>
        </w:tc>
        <w:tc>
          <w:tcPr>
            <w:tcW w:type="dxa" w:w="4105"/>
            <w:tcMar>
              <w:top w:w="50" w:type="dxa"/>
              <w:left w:w="90" w:type="dxa"/>
              <w:bottom w:w="60" w:type="dxa"/>
              <w:right w:w="90" w:type="dxa"/>
            </w:tcMar>
          </w:tcPr>
          <w:p>
            <w:pPr>
              <w:spacing w:before="0" w:after="0" w:line="252" w:lineRule="auto"/>
            </w:pPr>
            <w:r>
              <w:rPr>
                <w:rFonts w:ascii="Calibri" w:hAnsi="Calibri"/>
                <w:sz w:val="19"/>
              </w:rPr>
              <w:t>See Florida_HB379_Crosswalk.md Section 8</w:t>
            </w:r>
          </w:p>
        </w:tc>
      </w:tr>
    </w:tbl>
    <w:p>
      <w:pPr>
        <w:spacing w:before="0" w:after="0" w:line="160" w:lineRule="exact"/>
      </w:pPr>
      <w:r>
        <w:rPr>
          <w:sz w:val="2"/>
        </w:rPr>
      </w:r>
    </w:p>
    <w:p>
      <w:r>
        <w:rPr/>
        <w:t>Plan the sensitive-lesson dates with the counselor before the school year starts. Do not teach 9-12 Lessons 5 and 7 (or 6-8 Lessons 6, 7, 8) on the same day, before a major exam or long weekend, or when a known incident has just occurred without counselor input.</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07  </w:t>
      </w:r>
      <w:r>
        <w:rPr/>
        <w:t>Handling opt-outs</w:t>
      </w:r>
    </w:p>
    <w:p>
      <w:pPr>
        <w:pStyle w:val="ListBullet"/>
      </w:pPr>
      <w:r>
        <w:rPr>
          <w:b/>
        </w:rPr>
        <w:t>Legal frame.</w:t>
      </w:r>
      <w:r>
        <w:rPr/>
        <w:t xml:space="preserve"> The only parental exemption I found in s. 1003.42 is for reproductive health and disease instruction (subsection (5)). The social media instruction has no statutory exemption in the text I read. Whether and how to allow opt-outs is a district policy decision. [VERIFIED 2026-10-05: s. 1003.42(5); VERIFY with counsel]</w:t>
      </w:r>
    </w:p>
    <w:p>
      <w:pPr>
        <w:pStyle w:val="ListBullet"/>
      </w:pPr>
      <w:r>
        <w:rPr>
          <w:b/>
        </w:rPr>
        <w:t>Alternate must teach the component.</w:t>
      </w:r>
      <w:r>
        <w:rPr/>
        <w:t xml:space="preserve"> Because the component is required, an opted-out student should still receive instruction on it. The kit's alternates (for example, 6-8 R7-ALT "Pressure Without Pictures"; 6-8 P1 "Job Scams"; 9-12 P1 "Spot the Scam: Job Offers That Ask for Your ID") teach the same skills using non-sexual, non-exploitation scenarios. Make the alternate available before the lesson.</w:t>
      </w:r>
    </w:p>
    <w:p>
      <w:pPr>
        <w:pStyle w:val="ListBullet"/>
      </w:pPr>
      <w:r>
        <w:rPr>
          <w:b/>
        </w:rPr>
        <w:t>No questions, no penalty.</w:t>
      </w:r>
      <w:r>
        <w:rPr/>
        <w:t xml:space="preserve"> Do not ask for a reason; do not grade it; do not single out a student. Supervise in a library, counselor's office or another room. A student may also step out mid-lesson with a Pass card or Step-Out card.</w:t>
      </w:r>
    </w:p>
    <w:p>
      <w:pPr>
        <w:pStyle w:val="ListBullet"/>
      </w:pPr>
      <w:r>
        <w:rPr>
          <w:b/>
        </w:rPr>
        <w:t>Records.</w:t>
      </w:r>
      <w:r>
        <w:rPr/>
        <w:t xml:space="preserve"> Keep the district's usual signed form in the student's file per district rules; keep Hackles-side counts as numbers only (for example, "3 opted out of Lesson 7") on the class-level log. Do not put names or reasons on the Hackles log. [VERIFY the district's own records rules with counsel]</w:t>
      </w:r>
    </w:p>
    <w:p>
      <w:pPr>
        <w:pStyle w:val="ListBullet"/>
      </w:pPr>
      <w:r>
        <w:rPr>
          <w:b/>
        </w:rPr>
        <w:t>Send the family card to all families,</w:t>
      </w:r>
      <w:r>
        <w:rPr/>
        <w:t xml:space="preserve"> opt-outs included.</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08  </w:t>
      </w:r>
      <w:r>
        <w:rPr/>
        <w:t>Documenting compliance without collecting student data</w:t>
      </w:r>
    </w:p>
    <w:p>
      <w:r>
        <w:rPr/>
        <w:t>Hackles collects none, and your district can document what the rule asks (plan, qualifications, materials) without it.</w:t>
      </w:r>
    </w:p>
    <w:p>
      <w:r>
        <w:rPr>
          <w:b/>
        </w:rPr>
        <w:t>Class-level compliance log (one row per lesson per class; no student names):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68"/>
        <w:gridCol w:w="4024"/>
      </w:tblGrid>
      <w:tr>
        <w:trPr>
          <w:tblHeader/>
          <w:cantSplit/>
        </w:trPr>
        <w:tc>
          <w:tcPr>
            <w:tcW w:type="dxa" w:w="57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40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Date</w:t>
            </w:r>
          </w:p>
        </w:tc>
        <w:tc>
          <w:tcPr>
            <w:tcW w:type="dxa" w:w="4024"/>
            <w:tcMar>
              <w:top w:w="50" w:type="dxa"/>
              <w:left w:w="90" w:type="dxa"/>
              <w:bottom w:w="60" w:type="dxa"/>
              <w:right w:w="90" w:type="dxa"/>
            </w:tcMar>
          </w:tcPr>
          <w:p>
            <w:pPr>
              <w:spacing w:before="0" w:after="0" w:line="252" w:lineRule="auto"/>
            </w:pPr>
            <w:r>
              <w:rPr>
                <w:rFonts w:ascii="Calibri" w:hAnsi="Calibri"/>
                <w:sz w:val="19"/>
              </w:rPr>
              <w:t>2026-10-14</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School; course or section code</w:t>
            </w:r>
          </w:p>
        </w:tc>
        <w:tc>
          <w:tcPr>
            <w:tcW w:type="dxa" w:w="4024"/>
            <w:tcMar>
              <w:top w:w="50" w:type="dxa"/>
              <w:left w:w="90" w:type="dxa"/>
              <w:bottom w:w="60" w:type="dxa"/>
              <w:right w:w="90" w:type="dxa"/>
            </w:tcMar>
          </w:tcPr>
          <w:p>
            <w:pPr>
              <w:spacing w:before="0" w:after="0" w:line="252" w:lineRule="auto"/>
            </w:pPr>
            <w:r>
              <w:rPr>
                <w:rFonts w:ascii="Calibri" w:hAnsi="Calibri"/>
                <w:sz w:val="19"/>
              </w:rPr>
              <w:t>Middle School; Advisory 7-2</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Teacher or staff ID (not a student ID)</w:t>
            </w:r>
          </w:p>
        </w:tc>
        <w:tc>
          <w:tcPr>
            <w:tcW w:type="dxa" w:w="4024"/>
            <w:tcMar>
              <w:top w:w="50" w:type="dxa"/>
              <w:left w:w="90" w:type="dxa"/>
              <w:bottom w:w="60" w:type="dxa"/>
              <w:right w:w="90" w:type="dxa"/>
            </w:tcMar>
          </w:tcPr>
          <w:p>
            <w:pPr>
              <w:spacing w:before="0" w:after="0" w:line="252" w:lineRule="auto"/>
            </w:pPr>
            <w:r>
              <w:rPr>
                <w:rFonts w:ascii="Calibri" w:hAnsi="Calibri"/>
                <w:sz w:val="19"/>
              </w:rPr>
              <w:t>T-0123</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Hackles lesson ID</w:t>
            </w:r>
          </w:p>
        </w:tc>
        <w:tc>
          <w:tcPr>
            <w:tcW w:type="dxa" w:w="4024"/>
            <w:tcMar>
              <w:top w:w="50" w:type="dxa"/>
              <w:left w:w="90" w:type="dxa"/>
              <w:bottom w:w="60" w:type="dxa"/>
              <w:right w:w="90" w:type="dxa"/>
            </w:tcMar>
          </w:tcPr>
          <w:p>
            <w:pPr>
              <w:spacing w:before="0" w:after="0" w:line="252" w:lineRule="auto"/>
            </w:pPr>
            <w:r>
              <w:rPr>
                <w:rFonts w:ascii="Calibri" w:hAnsi="Calibri"/>
                <w:sz w:val="19"/>
              </w:rPr>
              <w:t>6-8 L10</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Statutory component(s) taught (C1 to C6)</w:t>
            </w:r>
          </w:p>
        </w:tc>
        <w:tc>
          <w:tcPr>
            <w:tcW w:type="dxa" w:w="4024"/>
            <w:tcMar>
              <w:top w:w="50" w:type="dxa"/>
              <w:left w:w="90" w:type="dxa"/>
              <w:bottom w:w="60" w:type="dxa"/>
              <w:right w:w="90" w:type="dxa"/>
            </w:tcMar>
          </w:tcPr>
          <w:p>
            <w:pPr>
              <w:spacing w:before="0" w:after="0" w:line="252" w:lineRule="auto"/>
            </w:pPr>
            <w:r>
              <w:rPr>
                <w:rFonts w:ascii="Calibri" w:hAnsi="Calibri"/>
                <w:sz w:val="19"/>
              </w:rPr>
              <w:t>C3, C1 (partial)</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Minutes</w:t>
            </w:r>
          </w:p>
        </w:tc>
        <w:tc>
          <w:tcPr>
            <w:tcW w:type="dxa" w:w="4024"/>
            <w:tcMar>
              <w:top w:w="50" w:type="dxa"/>
              <w:left w:w="90" w:type="dxa"/>
              <w:bottom w:w="60" w:type="dxa"/>
              <w:right w:w="90" w:type="dxa"/>
            </w:tcMar>
          </w:tcPr>
          <w:p>
            <w:pPr>
              <w:spacing w:before="0" w:after="0" w:line="252" w:lineRule="auto"/>
            </w:pPr>
            <w:r>
              <w:rPr>
                <w:rFonts w:ascii="Calibri" w:hAnsi="Calibri"/>
                <w:sz w:val="19"/>
              </w:rPr>
              <w:t>15</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Head-count present (a number only)</w:t>
            </w:r>
          </w:p>
        </w:tc>
        <w:tc>
          <w:tcPr>
            <w:tcW w:type="dxa" w:w="4024"/>
            <w:tcMar>
              <w:top w:w="50" w:type="dxa"/>
              <w:left w:w="90" w:type="dxa"/>
              <w:bottom w:w="60" w:type="dxa"/>
              <w:right w:w="90" w:type="dxa"/>
            </w:tcMar>
          </w:tcPr>
          <w:p>
            <w:pPr>
              <w:spacing w:before="0" w:after="0" w:line="252" w:lineRule="auto"/>
            </w:pPr>
            <w:r>
              <w:rPr>
                <w:rFonts w:ascii="Calibri" w:hAnsi="Calibri"/>
                <w:sz w:val="19"/>
              </w:rPr>
              <w:t>24</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Opt-out count (a number only)</w:t>
            </w:r>
          </w:p>
        </w:tc>
        <w:tc>
          <w:tcPr>
            <w:tcW w:type="dxa" w:w="4024"/>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Alternate delivered (yes or no)</w:t>
            </w:r>
          </w:p>
        </w:tc>
        <w:tc>
          <w:tcPr>
            <w:tcW w:type="dxa" w:w="4024"/>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Counselor notified (yes or no) and date</w:t>
            </w:r>
          </w:p>
        </w:tc>
        <w:tc>
          <w:tcPr>
            <w:tcW w:type="dxa" w:w="4024"/>
            <w:tcMar>
              <w:top w:w="50" w:type="dxa"/>
              <w:left w:w="90" w:type="dxa"/>
              <w:bottom w:w="60" w:type="dxa"/>
              <w:right w:w="90" w:type="dxa"/>
            </w:tcMar>
          </w:tcPr>
          <w:p>
            <w:pPr>
              <w:spacing w:before="0" w:after="0" w:line="252" w:lineRule="auto"/>
            </w:pPr>
            <w:r>
              <w:rPr>
                <w:rFonts w:ascii="Calibri" w:hAnsi="Calibri"/>
                <w:sz w:val="19"/>
              </w:rPr>
              <w:t>Yes, 2026-10-07</w:t>
            </w:r>
          </w:p>
        </w:tc>
      </w:tr>
      <w:tr>
        <w:trPr>
          <w:cantSplit/>
        </w:trPr>
        <w:tc>
          <w:tcPr>
            <w:tcW w:type="dxa" w:w="5768"/>
            <w:tcMar>
              <w:top w:w="50" w:type="dxa"/>
              <w:left w:w="0" w:type="dxa"/>
              <w:bottom w:w="60" w:type="dxa"/>
              <w:right w:w="90" w:type="dxa"/>
            </w:tcMar>
          </w:tcPr>
          <w:p>
            <w:pPr>
              <w:spacing w:before="0" w:after="0" w:line="252" w:lineRule="auto"/>
            </w:pPr>
            <w:r>
              <w:rPr>
                <w:rFonts w:ascii="Calibri" w:hAnsi="Calibri"/>
                <w:sz w:val="19"/>
              </w:rPr>
              <w:t>Family notice sent (date)</w:t>
            </w:r>
          </w:p>
        </w:tc>
        <w:tc>
          <w:tcPr>
            <w:tcW w:type="dxa" w:w="4024"/>
            <w:tcMar>
              <w:top w:w="50" w:type="dxa"/>
              <w:left w:w="90" w:type="dxa"/>
              <w:bottom w:w="60" w:type="dxa"/>
              <w:right w:w="90" w:type="dxa"/>
            </w:tcMar>
          </w:tcPr>
          <w:p>
            <w:pPr>
              <w:spacing w:before="0" w:after="0" w:line="252" w:lineRule="auto"/>
            </w:pPr>
            <w:r>
              <w:rPr>
                <w:rFonts w:ascii="Calibri" w:hAnsi="Calibri"/>
                <w:sz w:val="19"/>
              </w:rPr>
              <w:t>2026-10-07</w:t>
            </w:r>
          </w:p>
        </w:tc>
      </w:tr>
    </w:tbl>
    <w:p>
      <w:pPr>
        <w:spacing w:before="0" w:after="0" w:line="160" w:lineRule="exact"/>
      </w:pPr>
      <w:r>
        <w:rPr>
          <w:sz w:val="2"/>
        </w:rPr>
      </w:r>
    </w:p>
    <w:p>
      <w:r>
        <w:rPr>
          <w:b/>
        </w:rPr>
        <w:t>Also keep (adult records only):</w:t>
      </w:r>
      <w:r>
        <w:rPr/>
        <w:t xml:space="preserve"> the board action; the posted website notice (date and a screenshot); the implementation plan submission receipt; staff s. 1006.481 acknowledgments (the school must retain them [VERIFIED 2026-10-05: s. 1006.481(3)]); counselor review sign-off; the specialist review sign-off for the trafficking Plus lessons (P1 in each band); the reviewed lesson versions used.</w:t>
      </w:r>
    </w:p>
    <w:p>
      <w:r>
        <w:rPr>
          <w:b/>
        </w:rPr>
        <w:t>Do not keep:</w:t>
      </w:r>
      <w:r>
        <w:rPr/>
        <w:t xml:space="preserve"> exit tickets (return them or shred them after the teacher has read them for disclosures), student work, names on tallies, screenshots of student responses, or any content a student wrote about themselves. If an exit ticket contains a disclosure, handle it under the disclosure protocol and school policy, not as a Hackles record.</w:t>
      </w:r>
    </w:p>
    <w:p>
      <w:r>
        <w:rPr>
          <w:b/>
        </w:rPr>
        <w:t>Optional pre/post</w:t>
      </w:r>
      <w:r>
        <w:rPr/>
        <w:t xml:space="preserve"> (Assessment Pack): class counts only, no names; check district policy on surveys and consent before use. [VERIFY with counsel; FERPA and Florida public-records questions are for district counsel.]</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09  </w:t>
      </w:r>
      <w:r>
        <w:rPr/>
        <w:t>What NOT to claim</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41"/>
        <w:gridCol w:w="2866"/>
        <w:gridCol w:w="4184"/>
      </w:tblGrid>
      <w:tr>
        <w:trPr>
          <w:tblHeader/>
          <w:cantSplit/>
        </w:trPr>
        <w:tc>
          <w:tcPr>
            <w:tcW w:type="dxa" w:w="27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DO NOT SAY</w:t>
            </w:r>
          </w:p>
        </w:tc>
        <w:tc>
          <w:tcPr>
            <w:tcW w:type="dxa" w:w="28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c>
          <w:tcPr>
            <w:tcW w:type="dxa" w:w="41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 INSTEAD</w:t>
            </w:r>
          </w:p>
        </w:tc>
      </w:tr>
      <w:tr>
        <w:trPr>
          <w:cantSplit/>
        </w:trPr>
        <w:tc>
          <w:tcPr>
            <w:tcW w:type="dxa" w:w="2741"/>
            <w:tcMar>
              <w:top w:w="50" w:type="dxa"/>
              <w:left w:w="0" w:type="dxa"/>
              <w:bottom w:w="60" w:type="dxa"/>
              <w:right w:w="90" w:type="dxa"/>
            </w:tcMar>
          </w:tcPr>
          <w:p>
            <w:pPr>
              <w:spacing w:before="0" w:after="0" w:line="252" w:lineRule="auto"/>
            </w:pPr>
            <w:r>
              <w:rPr>
                <w:rFonts w:ascii="Calibri" w:hAnsi="Calibri"/>
                <w:sz w:val="19"/>
              </w:rPr>
              <w:t>"Hackles is approved by FLDOE" or "state-approved"</w:t>
            </w:r>
          </w:p>
        </w:tc>
        <w:tc>
          <w:tcPr>
            <w:tcW w:type="dxa" w:w="2866"/>
            <w:tcMar>
              <w:top w:w="50" w:type="dxa"/>
              <w:left w:w="90" w:type="dxa"/>
              <w:bottom w:w="60" w:type="dxa"/>
              <w:right w:w="90" w:type="dxa"/>
            </w:tcMar>
          </w:tcPr>
          <w:p>
            <w:pPr>
              <w:spacing w:before="0" w:after="0" w:line="252" w:lineRule="auto"/>
            </w:pPr>
            <w:r>
              <w:rPr>
                <w:rFonts w:ascii="Calibri" w:hAnsi="Calibri"/>
                <w:sz w:val="19"/>
              </w:rPr>
              <w:t>It has not been submitted to or reviewed by FLDOE. I found no FLDOE approval process for this component.</w:t>
            </w:r>
          </w:p>
        </w:tc>
        <w:tc>
          <w:tcPr>
            <w:tcW w:type="dxa" w:w="4184"/>
            <w:tcMar>
              <w:top w:w="50" w:type="dxa"/>
              <w:left w:w="90" w:type="dxa"/>
              <w:bottom w:w="60" w:type="dxa"/>
              <w:right w:w="90" w:type="dxa"/>
            </w:tcMar>
          </w:tcPr>
          <w:p>
            <w:pPr>
              <w:spacing w:before="0" w:after="0" w:line="252" w:lineRule="auto"/>
            </w:pPr>
            <w:r>
              <w:rPr>
                <w:rFonts w:ascii="Calibri" w:hAnsi="Calibri"/>
                <w:sz w:val="19"/>
              </w:rPr>
              <w:t>"Hackles has not been reviewed or endorsed by FLDOE. FLDOE's own materials are at [link]."</w:t>
            </w:r>
          </w:p>
        </w:tc>
      </w:tr>
      <w:tr>
        <w:trPr>
          <w:cantSplit/>
        </w:trPr>
        <w:tc>
          <w:tcPr>
            <w:tcW w:type="dxa" w:w="2741"/>
            <w:tcMar>
              <w:top w:w="50" w:type="dxa"/>
              <w:left w:w="0" w:type="dxa"/>
              <w:bottom w:w="60" w:type="dxa"/>
              <w:right w:w="90" w:type="dxa"/>
            </w:tcMar>
          </w:tcPr>
          <w:p>
            <w:pPr>
              <w:spacing w:before="0" w:after="0" w:line="252" w:lineRule="auto"/>
            </w:pPr>
            <w:r>
              <w:rPr>
                <w:rFonts w:ascii="Calibri" w:hAnsi="Calibri"/>
                <w:sz w:val="19"/>
              </w:rPr>
              <w:t>"Hackles is aligned to / meets HB 379"</w:t>
            </w:r>
          </w:p>
        </w:tc>
        <w:tc>
          <w:tcPr>
            <w:tcW w:type="dxa" w:w="2866"/>
            <w:tcMar>
              <w:top w:w="50" w:type="dxa"/>
              <w:left w:w="90" w:type="dxa"/>
              <w:bottom w:w="60" w:type="dxa"/>
              <w:right w:w="90" w:type="dxa"/>
            </w:tcMar>
          </w:tcPr>
          <w:p>
            <w:pPr>
              <w:spacing w:before="0" w:after="0" w:line="252" w:lineRule="auto"/>
            </w:pPr>
            <w:r>
              <w:rPr>
                <w:rFonts w:ascii="Calibri" w:hAnsi="Calibri"/>
                <w:sz w:val="19"/>
              </w:rPr>
              <w:t>The unchanged kit does not cover all components (crosswalk).</w:t>
            </w:r>
          </w:p>
        </w:tc>
        <w:tc>
          <w:tcPr>
            <w:tcW w:type="dxa" w:w="4184"/>
            <w:tcMar>
              <w:top w:w="50" w:type="dxa"/>
              <w:left w:w="90" w:type="dxa"/>
              <w:bottom w:w="60" w:type="dxa"/>
              <w:right w:w="90" w:type="dxa"/>
            </w:tcMar>
          </w:tcPr>
          <w:p>
            <w:pPr>
              <w:spacing w:before="0" w:after="0" w:line="252" w:lineRule="auto"/>
            </w:pPr>
            <w:r>
              <w:rPr>
                <w:rFonts w:ascii="Calibri" w:hAnsi="Calibri"/>
                <w:sz w:val="19"/>
              </w:rPr>
              <w:t>"Competence Collective mapped Hackles lessons to the six components in s. 1003.42(2)(o)5.a. and identified gaps; the gap lessons are now written as Plus lessons and are awaiting review."</w:t>
            </w:r>
          </w:p>
        </w:tc>
      </w:tr>
      <w:tr>
        <w:trPr>
          <w:cantSplit/>
        </w:trPr>
        <w:tc>
          <w:tcPr>
            <w:tcW w:type="dxa" w:w="2741"/>
            <w:tcMar>
              <w:top w:w="50" w:type="dxa"/>
              <w:left w:w="0" w:type="dxa"/>
              <w:bottom w:w="60" w:type="dxa"/>
              <w:right w:w="90" w:type="dxa"/>
            </w:tcMar>
          </w:tcPr>
          <w:p>
            <w:pPr>
              <w:spacing w:before="0" w:after="0" w:line="252" w:lineRule="auto"/>
            </w:pPr>
            <w:r>
              <w:rPr>
                <w:rFonts w:ascii="Calibri" w:hAnsi="Calibri"/>
                <w:sz w:val="19"/>
              </w:rPr>
              <w:t>"This satisfies the state's requirement"</w:t>
            </w:r>
          </w:p>
        </w:tc>
        <w:tc>
          <w:tcPr>
            <w:tcW w:type="dxa" w:w="2866"/>
            <w:tcMar>
              <w:top w:w="50" w:type="dxa"/>
              <w:left w:w="90" w:type="dxa"/>
              <w:bottom w:w="60" w:type="dxa"/>
              <w:right w:w="90" w:type="dxa"/>
            </w:tcMar>
          </w:tcPr>
          <w:p>
            <w:pPr>
              <w:spacing w:before="0" w:after="0" w:line="252" w:lineRule="auto"/>
            </w:pPr>
            <w:r>
              <w:rPr>
                <w:rFonts w:ascii="Calibri" w:hAnsi="Calibri"/>
                <w:sz w:val="19"/>
              </w:rPr>
              <w:t>That is a determination for the district and FLDOE.</w:t>
            </w:r>
          </w:p>
        </w:tc>
        <w:tc>
          <w:tcPr>
            <w:tcW w:type="dxa" w:w="4184"/>
            <w:tcMar>
              <w:top w:w="50" w:type="dxa"/>
              <w:left w:w="90" w:type="dxa"/>
              <w:bottom w:w="60" w:type="dxa"/>
              <w:right w:w="90" w:type="dxa"/>
            </w:tcMar>
          </w:tcPr>
          <w:p>
            <w:pPr>
              <w:spacing w:before="0" w:after="0" w:line="252" w:lineRule="auto"/>
            </w:pPr>
            <w:r>
              <w:rPr>
                <w:rFonts w:ascii="Calibri" w:hAnsi="Calibri"/>
                <w:sz w:val="19"/>
              </w:rPr>
              <w:t>"The district will use Hackles together with ___ to deliver the required instruction."</w:t>
            </w:r>
          </w:p>
        </w:tc>
      </w:tr>
      <w:tr>
        <w:trPr>
          <w:cantSplit/>
        </w:trPr>
        <w:tc>
          <w:tcPr>
            <w:tcW w:type="dxa" w:w="2741"/>
            <w:tcMar>
              <w:top w:w="50" w:type="dxa"/>
              <w:left w:w="0" w:type="dxa"/>
              <w:bottom w:w="60" w:type="dxa"/>
              <w:right w:w="90" w:type="dxa"/>
            </w:tcMar>
          </w:tcPr>
          <w:p>
            <w:pPr>
              <w:spacing w:before="0" w:after="0" w:line="252" w:lineRule="auto"/>
            </w:pPr>
            <w:r>
              <w:rPr>
                <w:rFonts w:ascii="Calibri" w:hAnsi="Calibri"/>
                <w:sz w:val="19"/>
              </w:rPr>
              <w:t>"Evidence-based" or "proven"</w:t>
            </w:r>
          </w:p>
        </w:tc>
        <w:tc>
          <w:tcPr>
            <w:tcW w:type="dxa" w:w="2866"/>
            <w:tcMar>
              <w:top w:w="50" w:type="dxa"/>
              <w:left w:w="90" w:type="dxa"/>
              <w:bottom w:w="60" w:type="dxa"/>
              <w:right w:w="90" w:type="dxa"/>
            </w:tcMar>
          </w:tcPr>
          <w:p>
            <w:pPr>
              <w:spacing w:before="0" w:after="0" w:line="252" w:lineRule="auto"/>
            </w:pPr>
            <w:r>
              <w:rPr>
                <w:rFonts w:ascii="Calibri" w:hAnsi="Calibri"/>
                <w:sz w:val="19"/>
              </w:rPr>
              <w:t>Hackles has not been evaluated in a controlled study (kit README).</w:t>
            </w:r>
          </w:p>
        </w:tc>
        <w:tc>
          <w:tcPr>
            <w:tcW w:type="dxa" w:w="4184"/>
            <w:tcMar>
              <w:top w:w="50" w:type="dxa"/>
              <w:left w:w="90" w:type="dxa"/>
              <w:bottom w:w="60" w:type="dxa"/>
              <w:right w:w="90" w:type="dxa"/>
            </w:tcMar>
          </w:tcPr>
          <w:p>
            <w:pPr>
              <w:spacing w:before="0" w:after="0" w:line="252" w:lineRule="auto"/>
            </w:pPr>
            <w:r>
              <w:rPr>
                <w:rFonts w:ascii="Calibri" w:hAnsi="Calibri"/>
                <w:sz w:val="19"/>
              </w:rPr>
              <w:t>"Designed around established practices for help-seeking and recognition skills; not yet evaluated."</w:t>
            </w:r>
          </w:p>
        </w:tc>
      </w:tr>
      <w:tr>
        <w:trPr>
          <w:cantSplit/>
        </w:trPr>
        <w:tc>
          <w:tcPr>
            <w:tcW w:type="dxa" w:w="2741"/>
            <w:tcMar>
              <w:top w:w="50" w:type="dxa"/>
              <w:left w:w="0" w:type="dxa"/>
              <w:bottom w:w="60" w:type="dxa"/>
              <w:right w:w="90" w:type="dxa"/>
            </w:tcMar>
          </w:tcPr>
          <w:p>
            <w:pPr>
              <w:spacing w:before="0" w:after="0" w:line="252" w:lineRule="auto"/>
            </w:pPr>
            <w:r>
              <w:rPr>
                <w:rFonts w:ascii="Calibri" w:hAnsi="Calibri"/>
                <w:sz w:val="19"/>
              </w:rPr>
              <w:t>"Reviewed by trafficking-prevention experts"</w:t>
            </w:r>
          </w:p>
        </w:tc>
        <w:tc>
          <w:tcPr>
            <w:tcW w:type="dxa" w:w="2866"/>
            <w:tcMar>
              <w:top w:w="50" w:type="dxa"/>
              <w:left w:w="90" w:type="dxa"/>
              <w:bottom w:w="60" w:type="dxa"/>
              <w:right w:w="90" w:type="dxa"/>
            </w:tcMar>
          </w:tcPr>
          <w:p>
            <w:pPr>
              <w:spacing w:before="0" w:after="0" w:line="252" w:lineRule="auto"/>
            </w:pPr>
            <w:r>
              <w:rPr>
                <w:rFonts w:ascii="Calibri" w:hAnsi="Calibri"/>
                <w:sz w:val="19"/>
              </w:rPr>
              <w:t>It has not been (the trafficking Plus lessons are written but not yet reviewed).</w:t>
            </w:r>
          </w:p>
        </w:tc>
        <w:tc>
          <w:tcPr>
            <w:tcW w:type="dxa" w:w="4184"/>
            <w:tcMar>
              <w:top w:w="50" w:type="dxa"/>
              <w:left w:w="90" w:type="dxa"/>
              <w:bottom w:w="60" w:type="dxa"/>
              <w:right w:w="90" w:type="dxa"/>
            </w:tcMar>
          </w:tcPr>
          <w:p>
            <w:pPr>
              <w:spacing w:before="0" w:after="0" w:line="252" w:lineRule="auto"/>
            </w:pPr>
            <w:r>
              <w:rPr>
                <w:rFonts w:ascii="Calibri" w:hAnsi="Calibri"/>
                <w:sz w:val="19"/>
              </w:rPr>
              <w:t>"Pending specialist review."</w:t>
            </w:r>
          </w:p>
        </w:tc>
      </w:tr>
      <w:tr>
        <w:trPr>
          <w:cantSplit/>
        </w:trPr>
        <w:tc>
          <w:tcPr>
            <w:tcW w:type="dxa" w:w="2741"/>
            <w:tcMar>
              <w:top w:w="50" w:type="dxa"/>
              <w:left w:w="0" w:type="dxa"/>
              <w:bottom w:w="60" w:type="dxa"/>
              <w:right w:w="90" w:type="dxa"/>
            </w:tcMar>
          </w:tcPr>
          <w:p>
            <w:pPr>
              <w:spacing w:before="0" w:after="0" w:line="252" w:lineRule="auto"/>
            </w:pPr>
            <w:r>
              <w:rPr>
                <w:rFonts w:ascii="Calibri" w:hAnsi="Calibri"/>
                <w:sz w:val="19"/>
              </w:rPr>
              <w:t>"No parent can opt out" or "any parent can opt out"</w:t>
            </w:r>
          </w:p>
        </w:tc>
        <w:tc>
          <w:tcPr>
            <w:tcW w:type="dxa" w:w="2866"/>
            <w:tcMar>
              <w:top w:w="50" w:type="dxa"/>
              <w:left w:w="90" w:type="dxa"/>
              <w:bottom w:w="60" w:type="dxa"/>
              <w:right w:w="90" w:type="dxa"/>
            </w:tcMar>
          </w:tcPr>
          <w:p>
            <w:pPr>
              <w:spacing w:before="0" w:after="0" w:line="252" w:lineRule="auto"/>
            </w:pPr>
            <w:r>
              <w:rPr>
                <w:rFonts w:ascii="Calibri" w:hAnsi="Calibri"/>
                <w:sz w:val="19"/>
              </w:rPr>
              <w:t>Neither is stated in the statute text I read.</w:t>
            </w:r>
          </w:p>
        </w:tc>
        <w:tc>
          <w:tcPr>
            <w:tcW w:type="dxa" w:w="4184"/>
            <w:tcMar>
              <w:top w:w="50" w:type="dxa"/>
              <w:left w:w="90" w:type="dxa"/>
              <w:bottom w:w="60" w:type="dxa"/>
              <w:right w:w="90" w:type="dxa"/>
            </w:tcMar>
          </w:tcPr>
          <w:p>
            <w:pPr>
              <w:spacing w:before="0" w:after="0" w:line="252" w:lineRule="auto"/>
            </w:pPr>
            <w:r>
              <w:rPr>
                <w:rFonts w:ascii="Calibri" w:hAnsi="Calibri"/>
                <w:sz w:val="19"/>
              </w:rPr>
              <w:t>Follow district policy.</w:t>
            </w:r>
          </w:p>
        </w:tc>
      </w:tr>
      <w:tr>
        <w:trPr>
          <w:cantSplit/>
        </w:trPr>
        <w:tc>
          <w:tcPr>
            <w:tcW w:type="dxa" w:w="2741"/>
            <w:tcMar>
              <w:top w:w="50" w:type="dxa"/>
              <w:left w:w="0" w:type="dxa"/>
              <w:bottom w:w="60" w:type="dxa"/>
              <w:right w:w="90" w:type="dxa"/>
            </w:tcMar>
          </w:tcPr>
          <w:p>
            <w:pPr>
              <w:spacing w:before="0" w:after="0" w:line="252" w:lineRule="auto"/>
            </w:pPr>
            <w:r>
              <w:rPr>
                <w:rFonts w:ascii="Calibri" w:hAnsi="Calibri"/>
                <w:sz w:val="19"/>
              </w:rPr>
              <w:t>"Hackles is on the FLDOE website"</w:t>
            </w:r>
          </w:p>
        </w:tc>
        <w:tc>
          <w:tcPr>
            <w:tcW w:type="dxa" w:w="2866"/>
            <w:tcMar>
              <w:top w:w="50" w:type="dxa"/>
              <w:left w:w="90" w:type="dxa"/>
              <w:bottom w:w="60" w:type="dxa"/>
              <w:right w:w="90" w:type="dxa"/>
            </w:tcMar>
          </w:tcPr>
          <w:p>
            <w:pPr>
              <w:spacing w:before="0" w:after="0" w:line="252" w:lineRule="auto"/>
            </w:pPr>
            <w:r>
              <w:rPr>
                <w:rFonts w:ascii="Calibri" w:hAnsi="Calibri"/>
                <w:sz w:val="19"/>
              </w:rPr>
              <w:t>It is not.</w:t>
            </w:r>
          </w:p>
        </w:tc>
        <w:tc>
          <w:tcPr>
            <w:tcW w:type="dxa" w:w="4184"/>
            <w:tcMar>
              <w:top w:w="50" w:type="dxa"/>
              <w:left w:w="90" w:type="dxa"/>
              <w:bottom w:w="60" w:type="dxa"/>
              <w:right w:w="90" w:type="dxa"/>
            </w:tcMar>
          </w:tcPr>
          <w:p>
            <w:pPr>
              <w:spacing w:before="0" w:after="0" w:line="252" w:lineRule="auto"/>
            </w:pPr>
            <w:r>
              <w:rPr>
                <w:rFonts w:ascii="Calibri" w:hAnsi="Calibri"/>
                <w:sz w:val="19"/>
              </w:rPr>
              <w:t>Link only to FLDOE's own pages.</w:t>
            </w:r>
          </w:p>
        </w:tc>
      </w:tr>
      <w:tr>
        <w:trPr>
          <w:cantSplit/>
        </w:trPr>
        <w:tc>
          <w:tcPr>
            <w:tcW w:type="dxa" w:w="2741"/>
            <w:tcMar>
              <w:top w:w="50" w:type="dxa"/>
              <w:left w:w="0" w:type="dxa"/>
              <w:bottom w:w="60" w:type="dxa"/>
              <w:right w:w="90" w:type="dxa"/>
            </w:tcMar>
          </w:tcPr>
          <w:p>
            <w:pPr>
              <w:spacing w:before="0" w:after="0" w:line="252" w:lineRule="auto"/>
            </w:pPr>
            <w:r>
              <w:rPr>
                <w:rFonts w:ascii="Calibri" w:hAnsi="Calibri"/>
                <w:sz w:val="19"/>
              </w:rPr>
              <w:t>"Free forever" or anything about licensing beyond what the kit says</w:t>
            </w:r>
          </w:p>
        </w:tc>
        <w:tc>
          <w:tcPr>
            <w:tcW w:type="dxa" w:w="2866"/>
            <w:tcMar>
              <w:top w:w="50" w:type="dxa"/>
              <w:left w:w="90" w:type="dxa"/>
              <w:bottom w:w="60" w:type="dxa"/>
              <w:right w:w="90" w:type="dxa"/>
            </w:tcMar>
          </w:tcPr>
          <w:p>
            <w:pPr>
              <w:spacing w:before="0" w:after="0" w:line="252" w:lineRule="auto"/>
            </w:pPr>
            <w:r>
              <w:rPr>
                <w:rFonts w:ascii="Calibri" w:hAnsi="Calibri"/>
                <w:sz w:val="19"/>
              </w:rPr>
              <w:t>The license line carries a [VERIFY with counsel] flag.</w:t>
            </w:r>
          </w:p>
        </w:tc>
        <w:tc>
          <w:tcPr>
            <w:tcW w:type="dxa" w:w="4184"/>
            <w:tcMar>
              <w:top w:w="50" w:type="dxa"/>
              <w:left w:w="90" w:type="dxa"/>
              <w:bottom w:w="60" w:type="dxa"/>
              <w:right w:w="90" w:type="dxa"/>
            </w:tcMar>
          </w:tcPr>
          <w:p>
            <w:pPr>
              <w:spacing w:before="0" w:after="0" w:line="252" w:lineRule="auto"/>
            </w:pPr>
            <w:r>
              <w:rPr>
                <w:rFonts w:ascii="Calibri" w:hAnsi="Calibri"/>
                <w:sz w:val="19"/>
              </w:rPr>
              <w:t>"Free to print, share and adapt for non-commercial use with credit (CC BY-NC 4.0), subject to counsel review."</w:t>
            </w:r>
          </w:p>
        </w:tc>
      </w:tr>
    </w:tbl>
    <w:p>
      <w:pPr>
        <w:spacing w:before="0" w:after="0" w:line="160" w:lineRule="exact"/>
      </w:pPr>
      <w:r>
        <w:rPr>
          <w:sz w:val="2"/>
        </w:rPr>
      </w:r>
    </w:p>
    <w:p>
      <w:r>
        <w:rPr/>
        <w:t>Competence Collective's other products (Red Herrings, Hotwash) are never mentioned in student materials or in this district-facing guide's notices. [Kit brand rule]</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10  </w:t>
      </w:r>
      <w:r>
        <w:rPr/>
        <w:t>Open questions to put to district counsel or FLDOE</w:t>
      </w:r>
    </w:p>
    <w:p>
      <w:r>
        <w:rPr/>
        <w:t>Contact points FLDOE lists: Bureau of Standards and Instructional Support, RequiredInstruction@fldoe.org, 850-245-0423 (effects page) or 850-245-0886 (required-instruction page). [VERIFIED 2026-10-05: fldoe.org pages]</w:t>
      </w:r>
    </w:p>
    <w:p>
      <w:pPr>
        <w:spacing w:before="0" w:after="60"/>
        <w:ind w:left="504" w:hanging="360"/>
      </w:pPr>
      <w:r>
        <w:rPr>
          <w:b/>
          <w:color w:val="2F6F73"/>
        </w:rPr>
        <w:t xml:space="preserve">1. </w:t>
      </w:r>
      <w:r>
        <w:rPr/>
        <w:t>Is a free supplemental kit "instructional materials" under s. 1006.29(2) requiring district review under s. 1006.283?</w:t>
      </w:r>
    </w:p>
    <w:p>
      <w:pPr>
        <w:spacing w:before="0" w:after="60"/>
        <w:ind w:left="504" w:hanging="360"/>
      </w:pPr>
      <w:r>
        <w:rPr>
          <w:b/>
          <w:color w:val="2F6F73"/>
        </w:rPr>
        <w:t xml:space="preserve">2. </w:t>
      </w:r>
      <w:r>
        <w:rPr/>
        <w:t>Must every component be taught in every grade 6-12, or once across the band? (FLDOE's guide says the components "can be taught at any grade level or within any course.")</w:t>
      </w:r>
    </w:p>
    <w:p>
      <w:pPr>
        <w:spacing w:before="0" w:after="60"/>
        <w:ind w:left="504" w:hanging="360"/>
      </w:pPr>
      <w:r>
        <w:rPr>
          <w:b/>
          <w:color w:val="2F6F73"/>
        </w:rPr>
        <w:t xml:space="preserve">3. </w:t>
      </w:r>
      <w:r>
        <w:rPr/>
        <w:t>Does a district opt-out policy need to give an alternate that covers the component?</w:t>
      </w:r>
    </w:p>
    <w:p>
      <w:pPr>
        <w:spacing w:before="0" w:after="60"/>
        <w:ind w:left="504" w:hanging="360"/>
      </w:pPr>
      <w:r>
        <w:rPr>
          <w:b/>
          <w:color w:val="2F6F73"/>
        </w:rPr>
        <w:t xml:space="preserve">4. </w:t>
      </w:r>
      <w:r>
        <w:rPr/>
        <w:t>What goes in FLDOE's implementation-plan template for supplemental materials? (Template 2026-52A not read.)</w:t>
      </w:r>
    </w:p>
    <w:p>
      <w:pPr>
        <w:spacing w:before="0" w:after="60"/>
        <w:ind w:left="504" w:hanging="360"/>
      </w:pPr>
      <w:r>
        <w:rPr>
          <w:b/>
          <w:color w:val="2F6F73"/>
        </w:rPr>
        <w:t xml:space="preserve">5. </w:t>
      </w:r>
      <w:r>
        <w:rPr/>
        <w:t>Does FLDOE expect a link to the FLDOE guide, to the district's own materials, or both, in the parent notice?</w:t>
      </w:r>
    </w:p>
    <w:p>
      <w:pPr>
        <w:spacing w:before="0" w:after="60"/>
        <w:ind w:left="504" w:hanging="360"/>
      </w:pPr>
      <w:r>
        <w:rPr>
          <w:b/>
          <w:color w:val="2F6F73"/>
        </w:rPr>
        <w:t xml:space="preserve">6. </w:t>
      </w:r>
      <w:r>
        <w:rPr/>
        <w:t>Confirm the parent-notice citation (the FLDOE page cites s. 1003.42(6); the notice duty is in (2)(o)5.b.).</w:t>
      </w:r>
    </w:p>
    <w:p>
      <w:pPr>
        <w:spacing w:before="0" w:after="60"/>
        <w:ind w:left="504" w:hanging="360"/>
      </w:pPr>
      <w:r>
        <w:rPr>
          <w:b/>
          <w:color w:val="2F6F73"/>
        </w:rPr>
        <w:t xml:space="preserve">7. </w:t>
      </w:r>
      <w:r>
        <w:rPr/>
        <w:t>Is the Hackles license (CC BY-NC 4.0) acceptable for district use and printing?</w:t>
      </w:r>
    </w:p>
    <w:p>
      <w:pPr>
        <w:spacing w:before="0" w:after="60"/>
        <w:ind w:left="504" w:hanging="360"/>
      </w:pPr>
      <w:r>
        <w:rPr>
          <w:b/>
          <w:color w:val="2F6F73"/>
        </w:rPr>
        <w:t xml:space="preserve">8. </w:t>
      </w:r>
      <w:r>
        <w:rPr/>
        <w:t>What is the current status of HB 3 (2024) in the courts, if the district plans to cite it?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FLORIDA · DISTRICT ADOPTION GUIDE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Florida · District Adoption Guide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