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Florida · Plus Lessons Changelog</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r>
        <w:rPr>
          <w:b/>
        </w:rPr>
        <w:t>Status: DRAFT, 2026-10-05.</w:t>
      </w:r>
      <w:r>
        <w:rPr/>
        <w:t xml:space="preserve"> This file records what changed in the kit when the seven gap drafts (Gap_Lesson_Stubs.md, FL-1 to FL-7) were built into full Plus lessons and the small edits P-1 to P-10 were applied. It is an editor's record, not a student or teacher document. Nothing in it means any lesson has been reviewed.</w:t>
      </w:r>
    </w:p>
    <w:p>
      <w:pPr>
        <w:pStyle w:val="Heading2"/>
        <w:pBdr>
          <w:top w:val="single" w:sz="18" w:space="6" w:color="FF8A3D"/>
        </w:pBdr>
        <w:spacing w:before="320"/>
      </w:pPr>
      <w:r>
        <w:rPr>
          <w:rFonts w:ascii="Courier New" w:hAnsi="Courier New"/>
          <w:b w:val="0"/>
          <w:color w:val="A8400A"/>
          <w:sz w:val="20"/>
        </w:rPr>
        <w:t xml:space="preserve">01  </w:t>
      </w:r>
      <w:r>
        <w:rPr/>
        <w:t>New Plus lessons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16"/>
        <w:gridCol w:w="828"/>
        <w:gridCol w:w="1133"/>
        <w:gridCol w:w="1781"/>
        <w:gridCol w:w="2718"/>
        <w:gridCol w:w="1015"/>
      </w:tblGrid>
      <w:tr>
        <w:trPr>
          <w:tblHeader/>
          <w:cantSplit/>
        </w:trPr>
        <w:tc>
          <w:tcPr>
            <w:tcW w:type="dxa" w:w="23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PLUS LESSON</w:t>
            </w:r>
          </w:p>
        </w:tc>
        <w:tc>
          <w:tcPr>
            <w:tcW w:type="dxa" w:w="8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FROM STUB</w:t>
            </w:r>
          </w:p>
        </w:tc>
        <w:tc>
          <w:tcPr>
            <w:tcW w:type="dxa" w:w="11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GUIDE</w:t>
            </w:r>
          </w:p>
        </w:tc>
        <w:tc>
          <w:tcPr>
            <w:tcW w:type="dxa" w:w="17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STUDENT PAGES</w:t>
            </w:r>
          </w:p>
        </w:tc>
        <w:tc>
          <w:tcPr>
            <w:tcW w:type="dxa" w:w="27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CARDS</w:t>
            </w:r>
          </w:p>
        </w:tc>
        <w:tc>
          <w:tcPr>
            <w:tcW w:type="dxa" w:w="10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 KEY</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b/>
                <w:sz w:val="19"/>
              </w:rPr>
              <w:t>6-8 P1</w:t>
            </w:r>
            <w:r>
              <w:rPr>
                <w:rFonts w:ascii="Calibri" w:hAnsi="Calibri"/>
                <w:sz w:val="19"/>
              </w:rPr>
              <w:t xml:space="preserve"> Work, Pressure and Promises Online: recognising trafficking and exploitation</w:t>
            </w:r>
          </w:p>
        </w:tc>
        <w:tc>
          <w:tcPr>
            <w:tcW w:type="dxa" w:w="828"/>
            <w:tcMar>
              <w:top w:w="50" w:type="dxa"/>
              <w:left w:w="90" w:type="dxa"/>
              <w:bottom w:w="60" w:type="dxa"/>
              <w:right w:w="90" w:type="dxa"/>
            </w:tcMar>
          </w:tcPr>
          <w:p>
            <w:pPr>
              <w:spacing w:before="0" w:after="0" w:line="252" w:lineRule="auto"/>
            </w:pPr>
            <w:r>
              <w:rPr>
                <w:rFonts w:ascii="Calibri" w:hAnsi="Calibri"/>
                <w:sz w:val="19"/>
              </w:rPr>
              <w:t>FL-1</w:t>
            </w:r>
          </w:p>
        </w:tc>
        <w:tc>
          <w:tcPr>
            <w:tcW w:type="dxa" w:w="1133"/>
            <w:tcMar>
              <w:top w:w="50" w:type="dxa"/>
              <w:left w:w="90" w:type="dxa"/>
              <w:bottom w:w="60" w:type="dxa"/>
              <w:right w:w="90" w:type="dxa"/>
            </w:tcMar>
          </w:tcPr>
          <w:p>
            <w:pPr>
              <w:spacing w:before="0" w:after="0" w:line="252" w:lineRule="auto"/>
            </w:pPr>
            <w:r>
              <w:rPr>
                <w:rFonts w:ascii="Calibri" w:hAnsi="Calibri"/>
                <w:sz w:val="19"/>
              </w:rPr>
              <w:t>03_6-8 Part 7B</w:t>
            </w:r>
          </w:p>
        </w:tc>
        <w:tc>
          <w:tcPr>
            <w:tcW w:type="dxa" w:w="1781"/>
            <w:tcMar>
              <w:top w:w="50" w:type="dxa"/>
              <w:left w:w="90" w:type="dxa"/>
              <w:bottom w:w="60" w:type="dxa"/>
              <w:right w:w="90" w:type="dxa"/>
            </w:tcMar>
          </w:tcPr>
          <w:p>
            <w:pPr>
              <w:spacing w:before="0" w:after="0" w:line="252" w:lineRule="auto"/>
            </w:pPr>
            <w:r>
              <w:rPr>
                <w:rFonts w:ascii="Calibri" w:hAnsi="Calibri"/>
                <w:sz w:val="19"/>
              </w:rPr>
              <w:t>Workbook: CF-P1, P1A, P1B, alternate CF-P1-ALT</w:t>
            </w:r>
          </w:p>
        </w:tc>
        <w:tc>
          <w:tcPr>
            <w:tcW w:type="dxa" w:w="2718"/>
            <w:tcMar>
              <w:top w:w="50" w:type="dxa"/>
              <w:left w:w="90" w:type="dxa"/>
              <w:bottom w:w="60" w:type="dxa"/>
              <w:right w:w="90" w:type="dxa"/>
            </w:tcMar>
          </w:tcPr>
          <w:p>
            <w:pPr>
              <w:spacing w:before="0" w:after="0" w:line="252" w:lineRule="auto"/>
            </w:pPr>
            <w:r>
              <w:rPr>
                <w:rFonts w:ascii="Calibri" w:hAnsi="Calibri"/>
                <w:sz w:val="19"/>
              </w:rPr>
              <w:t>Reproducibles RP1 (six Offer Cards, Flag Strip, Control Signs, Tell-3, Reporting Quick Card, Alternate packet)</w:t>
            </w:r>
          </w:p>
        </w:tc>
        <w:tc>
          <w:tcPr>
            <w:tcW w:type="dxa" w:w="1015"/>
            <w:tcMar>
              <w:top w:w="50" w:type="dxa"/>
              <w:left w:w="90" w:type="dxa"/>
              <w:bottom w:w="60" w:type="dxa"/>
              <w:right w:w="90" w:type="dxa"/>
            </w:tcMar>
          </w:tcPr>
          <w:p>
            <w:pPr>
              <w:spacing w:before="0" w:after="0" w:line="252" w:lineRule="auto"/>
            </w:pPr>
            <w:r>
              <w:rPr>
                <w:rFonts w:ascii="Calibri" w:hAnsi="Calibri"/>
                <w:sz w:val="19"/>
              </w:rPr>
              <w:t>Key: P1</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b/>
                <w:sz w:val="19"/>
              </w:rPr>
              <w:t>6-8 P2</w:t>
            </w:r>
            <w:r>
              <w:rPr>
                <w:rFonts w:ascii="Calibri" w:hAnsi="Calibri"/>
                <w:sz w:val="19"/>
              </w:rPr>
              <w:t xml:space="preserve"> Scroll Science: how feeds and notifications pull on you, and how to take the wheel</w:t>
            </w:r>
          </w:p>
        </w:tc>
        <w:tc>
          <w:tcPr>
            <w:tcW w:type="dxa" w:w="828"/>
            <w:tcMar>
              <w:top w:w="50" w:type="dxa"/>
              <w:left w:w="90" w:type="dxa"/>
              <w:bottom w:w="60" w:type="dxa"/>
              <w:right w:w="90" w:type="dxa"/>
            </w:tcMar>
          </w:tcPr>
          <w:p>
            <w:pPr>
              <w:spacing w:before="0" w:after="0" w:line="252" w:lineRule="auto"/>
            </w:pPr>
            <w:r>
              <w:rPr>
                <w:rFonts w:ascii="Calibri" w:hAnsi="Calibri"/>
                <w:sz w:val="19"/>
              </w:rPr>
              <w:t>FL-3</w:t>
            </w:r>
          </w:p>
        </w:tc>
        <w:tc>
          <w:tcPr>
            <w:tcW w:type="dxa" w:w="1133"/>
            <w:tcMar>
              <w:top w:w="50" w:type="dxa"/>
              <w:left w:w="90" w:type="dxa"/>
              <w:bottom w:w="60" w:type="dxa"/>
              <w:right w:w="90" w:type="dxa"/>
            </w:tcMar>
          </w:tcPr>
          <w:p>
            <w:pPr>
              <w:spacing w:before="0" w:after="0" w:line="252" w:lineRule="auto"/>
            </w:pPr>
            <w:r>
              <w:rPr>
                <w:rFonts w:ascii="Calibri" w:hAnsi="Calibri"/>
                <w:sz w:val="19"/>
              </w:rPr>
              <w:t>03_6-8 Part 7B</w:t>
            </w:r>
          </w:p>
        </w:tc>
        <w:tc>
          <w:tcPr>
            <w:tcW w:type="dxa" w:w="1781"/>
            <w:tcMar>
              <w:top w:w="50" w:type="dxa"/>
              <w:left w:w="90" w:type="dxa"/>
              <w:bottom w:w="60" w:type="dxa"/>
              <w:right w:w="90" w:type="dxa"/>
            </w:tcMar>
          </w:tcPr>
          <w:p>
            <w:pPr>
              <w:spacing w:before="0" w:after="0" w:line="252" w:lineRule="auto"/>
            </w:pPr>
            <w:r>
              <w:rPr>
                <w:rFonts w:ascii="Calibri" w:hAnsi="Calibri"/>
                <w:sz w:val="19"/>
              </w:rPr>
              <w:t>Workbook: CF-P2, P2A to P2C</w:t>
            </w:r>
          </w:p>
        </w:tc>
        <w:tc>
          <w:tcPr>
            <w:tcW w:type="dxa" w:w="2718"/>
            <w:tcMar>
              <w:top w:w="50" w:type="dxa"/>
              <w:left w:w="90" w:type="dxa"/>
              <w:bottom w:w="60" w:type="dxa"/>
              <w:right w:w="90" w:type="dxa"/>
            </w:tcMar>
          </w:tcPr>
          <w:p>
            <w:pPr>
              <w:spacing w:before="0" w:after="0" w:line="252" w:lineRule="auto"/>
            </w:pPr>
            <w:r>
              <w:rPr>
                <w:rFonts w:ascii="Calibri" w:hAnsi="Calibri"/>
                <w:sz w:val="19"/>
              </w:rPr>
              <w:t>RP2 (six Evidence Cards, four Signal Cards, mat, Reset Menu)</w:t>
            </w:r>
          </w:p>
        </w:tc>
        <w:tc>
          <w:tcPr>
            <w:tcW w:type="dxa" w:w="1015"/>
            <w:tcMar>
              <w:top w:w="50" w:type="dxa"/>
              <w:left w:w="90" w:type="dxa"/>
              <w:bottom w:w="60" w:type="dxa"/>
              <w:right w:w="90" w:type="dxa"/>
            </w:tcMar>
          </w:tcPr>
          <w:p>
            <w:pPr>
              <w:spacing w:before="0" w:after="0" w:line="252" w:lineRule="auto"/>
            </w:pPr>
            <w:r>
              <w:rPr>
                <w:rFonts w:ascii="Calibri" w:hAnsi="Calibri"/>
                <w:sz w:val="19"/>
              </w:rPr>
              <w:t>Key: P2</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b/>
                <w:sz w:val="19"/>
              </w:rPr>
              <w:t>6-8 P3</w:t>
            </w:r>
            <w:r>
              <w:rPr>
                <w:rFonts w:ascii="Calibri" w:hAnsi="Calibri"/>
                <w:sz w:val="19"/>
              </w:rPr>
              <w:t xml:space="preserve"> Fact, Fiction or Fake? Check before you share</w:t>
            </w:r>
          </w:p>
        </w:tc>
        <w:tc>
          <w:tcPr>
            <w:tcW w:type="dxa" w:w="828"/>
            <w:tcMar>
              <w:top w:w="50" w:type="dxa"/>
              <w:left w:w="90" w:type="dxa"/>
              <w:bottom w:w="60" w:type="dxa"/>
              <w:right w:w="90" w:type="dxa"/>
            </w:tcMar>
          </w:tcPr>
          <w:p>
            <w:pPr>
              <w:spacing w:before="0" w:after="0" w:line="252" w:lineRule="auto"/>
            </w:pPr>
            <w:r>
              <w:rPr>
                <w:rFonts w:ascii="Calibri" w:hAnsi="Calibri"/>
                <w:sz w:val="19"/>
              </w:rPr>
              <w:t>FL-6</w:t>
            </w:r>
          </w:p>
        </w:tc>
        <w:tc>
          <w:tcPr>
            <w:tcW w:type="dxa" w:w="1133"/>
            <w:tcMar>
              <w:top w:w="50" w:type="dxa"/>
              <w:left w:w="90" w:type="dxa"/>
              <w:bottom w:w="60" w:type="dxa"/>
              <w:right w:w="90" w:type="dxa"/>
            </w:tcMar>
          </w:tcPr>
          <w:p>
            <w:pPr>
              <w:spacing w:before="0" w:after="0" w:line="252" w:lineRule="auto"/>
            </w:pPr>
            <w:r>
              <w:rPr>
                <w:rFonts w:ascii="Calibri" w:hAnsi="Calibri"/>
                <w:sz w:val="19"/>
              </w:rPr>
              <w:t>03_6-8 Part 7B</w:t>
            </w:r>
          </w:p>
        </w:tc>
        <w:tc>
          <w:tcPr>
            <w:tcW w:type="dxa" w:w="1781"/>
            <w:tcMar>
              <w:top w:w="50" w:type="dxa"/>
              <w:left w:w="90" w:type="dxa"/>
              <w:bottom w:w="60" w:type="dxa"/>
              <w:right w:w="90" w:type="dxa"/>
            </w:tcMar>
          </w:tcPr>
          <w:p>
            <w:pPr>
              <w:spacing w:before="0" w:after="0" w:line="252" w:lineRule="auto"/>
            </w:pPr>
            <w:r>
              <w:rPr>
                <w:rFonts w:ascii="Calibri" w:hAnsi="Calibri"/>
                <w:sz w:val="19"/>
              </w:rPr>
              <w:t>Workbook: CF-P3, P3A, P3B</w:t>
            </w:r>
          </w:p>
        </w:tc>
        <w:tc>
          <w:tcPr>
            <w:tcW w:type="dxa" w:w="2718"/>
            <w:tcMar>
              <w:top w:w="50" w:type="dxa"/>
              <w:left w:w="90" w:type="dxa"/>
              <w:bottom w:w="60" w:type="dxa"/>
              <w:right w:w="90" w:type="dxa"/>
            </w:tcMar>
          </w:tcPr>
          <w:p>
            <w:pPr>
              <w:spacing w:before="0" w:after="0" w:line="252" w:lineRule="auto"/>
            </w:pPr>
            <w:r>
              <w:rPr>
                <w:rFonts w:ascii="Calibri" w:hAnsi="Calibri"/>
                <w:sz w:val="19"/>
              </w:rPr>
              <w:t>RP3 (Forward Chain slips, Check Strip, six Claim Cards, Share Pause)</w:t>
            </w:r>
          </w:p>
        </w:tc>
        <w:tc>
          <w:tcPr>
            <w:tcW w:type="dxa" w:w="1015"/>
            <w:tcMar>
              <w:top w:w="50" w:type="dxa"/>
              <w:left w:w="90" w:type="dxa"/>
              <w:bottom w:w="60" w:type="dxa"/>
              <w:right w:w="90" w:type="dxa"/>
            </w:tcMar>
          </w:tcPr>
          <w:p>
            <w:pPr>
              <w:spacing w:before="0" w:after="0" w:line="252" w:lineRule="auto"/>
            </w:pPr>
            <w:r>
              <w:rPr>
                <w:rFonts w:ascii="Calibri" w:hAnsi="Calibri"/>
                <w:sz w:val="19"/>
              </w:rPr>
              <w:t>Key: P3</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b/>
                <w:sz w:val="19"/>
              </w:rPr>
              <w:t>9-12 P1</w:t>
            </w:r>
            <w:r>
              <w:rPr>
                <w:rFonts w:ascii="Calibri" w:hAnsi="Calibri"/>
                <w:sz w:val="19"/>
              </w:rPr>
              <w:t xml:space="preserve"> Recruitment Online: Spot It, Say It, Report It</w:t>
            </w:r>
          </w:p>
        </w:tc>
        <w:tc>
          <w:tcPr>
            <w:tcW w:type="dxa" w:w="828"/>
            <w:tcMar>
              <w:top w:w="50" w:type="dxa"/>
              <w:left w:w="90" w:type="dxa"/>
              <w:bottom w:w="60" w:type="dxa"/>
              <w:right w:w="90" w:type="dxa"/>
            </w:tcMar>
          </w:tcPr>
          <w:p>
            <w:pPr>
              <w:spacing w:before="0" w:after="0" w:line="252" w:lineRule="auto"/>
            </w:pPr>
            <w:r>
              <w:rPr>
                <w:rFonts w:ascii="Calibri" w:hAnsi="Calibri"/>
                <w:sz w:val="19"/>
              </w:rPr>
              <w:t>FL-2</w:t>
            </w:r>
          </w:p>
        </w:tc>
        <w:tc>
          <w:tcPr>
            <w:tcW w:type="dxa" w:w="1133"/>
            <w:tcMar>
              <w:top w:w="50" w:type="dxa"/>
              <w:left w:w="90" w:type="dxa"/>
              <w:bottom w:w="60" w:type="dxa"/>
              <w:right w:w="90" w:type="dxa"/>
            </w:tcMar>
          </w:tcPr>
          <w:p>
            <w:pPr>
              <w:spacing w:before="0" w:after="0" w:line="252" w:lineRule="auto"/>
            </w:pPr>
            <w:r>
              <w:rPr>
                <w:rFonts w:ascii="Calibri" w:hAnsi="Calibri"/>
                <w:sz w:val="19"/>
              </w:rPr>
              <w:t>04_9-12 Part B2</w:t>
            </w:r>
          </w:p>
        </w:tc>
        <w:tc>
          <w:tcPr>
            <w:tcW w:type="dxa" w:w="1781"/>
            <w:tcMar>
              <w:top w:w="50" w:type="dxa"/>
              <w:left w:w="90" w:type="dxa"/>
              <w:bottom w:w="60" w:type="dxa"/>
              <w:right w:w="90" w:type="dxa"/>
            </w:tcMar>
          </w:tcPr>
          <w:p>
            <w:pPr>
              <w:spacing w:before="0" w:after="0" w:line="252" w:lineRule="auto"/>
            </w:pPr>
            <w:r>
              <w:rPr>
                <w:rFonts w:ascii="Calibri" w:hAnsi="Calibri"/>
                <w:sz w:val="19"/>
              </w:rPr>
              <w:t>Workbook: W-P1</w:t>
            </w:r>
          </w:p>
        </w:tc>
        <w:tc>
          <w:tcPr>
            <w:tcW w:type="dxa" w:w="2718"/>
            <w:tcMar>
              <w:top w:w="50" w:type="dxa"/>
              <w:left w:w="90" w:type="dxa"/>
              <w:bottom w:w="60" w:type="dxa"/>
              <w:right w:w="90" w:type="dxa"/>
            </w:tcMar>
          </w:tcPr>
          <w:p>
            <w:pPr>
              <w:spacing w:before="0" w:after="0" w:line="252" w:lineRule="auto"/>
            </w:pPr>
            <w:r>
              <w:rPr>
                <w:rFonts w:ascii="Calibri" w:hAnsi="Calibri"/>
                <w:sz w:val="19"/>
              </w:rPr>
              <w:t>R12 RP1 (Pattern Strip, eight Message Excerpt Cards, Helper Card, Reporting Quick Card, Alternate packet)</w:t>
            </w:r>
          </w:p>
        </w:tc>
        <w:tc>
          <w:tcPr>
            <w:tcW w:type="dxa" w:w="1015"/>
            <w:tcMar>
              <w:top w:w="50" w:type="dxa"/>
              <w:left w:w="90" w:type="dxa"/>
              <w:bottom w:w="60" w:type="dxa"/>
              <w:right w:w="90" w:type="dxa"/>
            </w:tcMar>
          </w:tcPr>
          <w:p>
            <w:pPr>
              <w:spacing w:before="0" w:after="0" w:line="252" w:lineRule="auto"/>
            </w:pPr>
            <w:r>
              <w:rPr>
                <w:rFonts w:ascii="Calibri" w:hAnsi="Calibri"/>
                <w:sz w:val="19"/>
              </w:rPr>
              <w:t>Key: W-P1</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b/>
                <w:sz w:val="19"/>
              </w:rPr>
              <w:t>9-12 P2</w:t>
            </w:r>
            <w:r>
              <w:rPr>
                <w:rFonts w:ascii="Calibri" w:hAnsi="Calibri"/>
                <w:sz w:val="19"/>
              </w:rPr>
              <w:t xml:space="preserve"> Mind, Mood, and the Scroll</w:t>
            </w:r>
          </w:p>
        </w:tc>
        <w:tc>
          <w:tcPr>
            <w:tcW w:type="dxa" w:w="828"/>
            <w:tcMar>
              <w:top w:w="50" w:type="dxa"/>
              <w:left w:w="90" w:type="dxa"/>
              <w:bottom w:w="60" w:type="dxa"/>
              <w:right w:w="90" w:type="dxa"/>
            </w:tcMar>
          </w:tcPr>
          <w:p>
            <w:pPr>
              <w:spacing w:before="0" w:after="0" w:line="252" w:lineRule="auto"/>
            </w:pPr>
            <w:r>
              <w:rPr>
                <w:rFonts w:ascii="Calibri" w:hAnsi="Calibri"/>
                <w:sz w:val="19"/>
              </w:rPr>
              <w:t>FL-4</w:t>
            </w:r>
          </w:p>
        </w:tc>
        <w:tc>
          <w:tcPr>
            <w:tcW w:type="dxa" w:w="1133"/>
            <w:tcMar>
              <w:top w:w="50" w:type="dxa"/>
              <w:left w:w="90" w:type="dxa"/>
              <w:bottom w:w="60" w:type="dxa"/>
              <w:right w:w="90" w:type="dxa"/>
            </w:tcMar>
          </w:tcPr>
          <w:p>
            <w:pPr>
              <w:spacing w:before="0" w:after="0" w:line="252" w:lineRule="auto"/>
            </w:pPr>
            <w:r>
              <w:rPr>
                <w:rFonts w:ascii="Calibri" w:hAnsi="Calibri"/>
                <w:sz w:val="19"/>
              </w:rPr>
              <w:t>04_9-12 Part B2</w:t>
            </w:r>
          </w:p>
        </w:tc>
        <w:tc>
          <w:tcPr>
            <w:tcW w:type="dxa" w:w="1781"/>
            <w:tcMar>
              <w:top w:w="50" w:type="dxa"/>
              <w:left w:w="90" w:type="dxa"/>
              <w:bottom w:w="60" w:type="dxa"/>
              <w:right w:w="90" w:type="dxa"/>
            </w:tcMar>
          </w:tcPr>
          <w:p>
            <w:pPr>
              <w:spacing w:before="0" w:after="0" w:line="252" w:lineRule="auto"/>
            </w:pPr>
            <w:r>
              <w:rPr>
                <w:rFonts w:ascii="Calibri" w:hAnsi="Calibri"/>
                <w:sz w:val="19"/>
              </w:rPr>
              <w:t>Workbook: W-P2</w:t>
            </w:r>
          </w:p>
        </w:tc>
        <w:tc>
          <w:tcPr>
            <w:tcW w:type="dxa" w:w="2718"/>
            <w:tcMar>
              <w:top w:w="50" w:type="dxa"/>
              <w:left w:w="90" w:type="dxa"/>
              <w:bottom w:w="60" w:type="dxa"/>
              <w:right w:w="90" w:type="dxa"/>
            </w:tcMar>
          </w:tcPr>
          <w:p>
            <w:pPr>
              <w:spacing w:before="0" w:after="0" w:line="252" w:lineRule="auto"/>
            </w:pPr>
            <w:r>
              <w:rPr>
                <w:rFonts w:ascii="Calibri" w:hAnsi="Calibri"/>
                <w:sz w:val="19"/>
              </w:rPr>
              <w:t>R12 RP2 (four Domain Vignettes, Two-Week Experiment, Help Routes)</w:t>
            </w:r>
          </w:p>
        </w:tc>
        <w:tc>
          <w:tcPr>
            <w:tcW w:type="dxa" w:w="1015"/>
            <w:tcMar>
              <w:top w:w="50" w:type="dxa"/>
              <w:left w:w="90" w:type="dxa"/>
              <w:bottom w:w="60" w:type="dxa"/>
              <w:right w:w="90" w:type="dxa"/>
            </w:tcMar>
          </w:tcPr>
          <w:p>
            <w:pPr>
              <w:spacing w:before="0" w:after="0" w:line="252" w:lineRule="auto"/>
            </w:pPr>
            <w:r>
              <w:rPr>
                <w:rFonts w:ascii="Calibri" w:hAnsi="Calibri"/>
                <w:sz w:val="19"/>
              </w:rPr>
              <w:t>Key: W-P2</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b/>
                <w:sz w:val="19"/>
              </w:rPr>
              <w:t>9-12 P3</w:t>
            </w:r>
            <w:r>
              <w:rPr>
                <w:rFonts w:ascii="Calibri" w:hAnsi="Calibri"/>
                <w:sz w:val="19"/>
              </w:rPr>
              <w:t xml:space="preserve"> Whose Goal Is It?</w:t>
            </w:r>
          </w:p>
        </w:tc>
        <w:tc>
          <w:tcPr>
            <w:tcW w:type="dxa" w:w="828"/>
            <w:tcMar>
              <w:top w:w="50" w:type="dxa"/>
              <w:left w:w="90" w:type="dxa"/>
              <w:bottom w:w="60" w:type="dxa"/>
              <w:right w:w="90" w:type="dxa"/>
            </w:tcMar>
          </w:tcPr>
          <w:p>
            <w:pPr>
              <w:spacing w:before="0" w:after="0" w:line="252" w:lineRule="auto"/>
            </w:pPr>
            <w:r>
              <w:rPr>
                <w:rFonts w:ascii="Calibri" w:hAnsi="Calibri"/>
                <w:sz w:val="19"/>
              </w:rPr>
              <w:t>FL-5</w:t>
            </w:r>
          </w:p>
        </w:tc>
        <w:tc>
          <w:tcPr>
            <w:tcW w:type="dxa" w:w="1133"/>
            <w:tcMar>
              <w:top w:w="50" w:type="dxa"/>
              <w:left w:w="90" w:type="dxa"/>
              <w:bottom w:w="60" w:type="dxa"/>
              <w:right w:w="90" w:type="dxa"/>
            </w:tcMar>
          </w:tcPr>
          <w:p>
            <w:pPr>
              <w:spacing w:before="0" w:after="0" w:line="252" w:lineRule="auto"/>
            </w:pPr>
            <w:r>
              <w:rPr>
                <w:rFonts w:ascii="Calibri" w:hAnsi="Calibri"/>
                <w:sz w:val="19"/>
              </w:rPr>
              <w:t>04_9-12 Part B2</w:t>
            </w:r>
          </w:p>
        </w:tc>
        <w:tc>
          <w:tcPr>
            <w:tcW w:type="dxa" w:w="1781"/>
            <w:tcMar>
              <w:top w:w="50" w:type="dxa"/>
              <w:left w:w="90" w:type="dxa"/>
              <w:bottom w:w="60" w:type="dxa"/>
              <w:right w:w="90" w:type="dxa"/>
            </w:tcMar>
          </w:tcPr>
          <w:p>
            <w:pPr>
              <w:spacing w:before="0" w:after="0" w:line="252" w:lineRule="auto"/>
            </w:pPr>
            <w:r>
              <w:rPr>
                <w:rFonts w:ascii="Calibri" w:hAnsi="Calibri"/>
                <w:sz w:val="19"/>
              </w:rPr>
              <w:t>Workbook: W-P3</w:t>
            </w:r>
          </w:p>
        </w:tc>
        <w:tc>
          <w:tcPr>
            <w:tcW w:type="dxa" w:w="2718"/>
            <w:tcMar>
              <w:top w:w="50" w:type="dxa"/>
              <w:left w:w="90" w:type="dxa"/>
              <w:bottom w:w="60" w:type="dxa"/>
              <w:right w:w="90" w:type="dxa"/>
            </w:tcMar>
          </w:tcPr>
          <w:p>
            <w:pPr>
              <w:spacing w:before="0" w:after="0" w:line="252" w:lineRule="auto"/>
            </w:pPr>
            <w:r>
              <w:rPr>
                <w:rFonts w:ascii="Calibri" w:hAnsi="Calibri"/>
                <w:sz w:val="19"/>
              </w:rPr>
              <w:t>R12 RP3 (seven Feature Cards, fifteen-card Feed Sorter deck, My Autonomy Settings)</w:t>
            </w:r>
          </w:p>
        </w:tc>
        <w:tc>
          <w:tcPr>
            <w:tcW w:type="dxa" w:w="1015"/>
            <w:tcMar>
              <w:top w:w="50" w:type="dxa"/>
              <w:left w:w="90" w:type="dxa"/>
              <w:bottom w:w="60" w:type="dxa"/>
              <w:right w:w="90" w:type="dxa"/>
            </w:tcMar>
          </w:tcPr>
          <w:p>
            <w:pPr>
              <w:spacing w:before="0" w:after="0" w:line="252" w:lineRule="auto"/>
            </w:pPr>
            <w:r>
              <w:rPr>
                <w:rFonts w:ascii="Calibri" w:hAnsi="Calibri"/>
                <w:sz w:val="19"/>
              </w:rPr>
              <w:t>Key: W-P3</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b/>
                <w:sz w:val="19"/>
              </w:rPr>
              <w:t>9-12 P4</w:t>
            </w:r>
            <w:r>
              <w:rPr>
                <w:rFonts w:ascii="Calibri" w:hAnsi="Calibri"/>
                <w:sz w:val="19"/>
              </w:rPr>
              <w:t xml:space="preserve"> From Mean to Harmful: Recognize, Respond, Report</w:t>
            </w:r>
          </w:p>
        </w:tc>
        <w:tc>
          <w:tcPr>
            <w:tcW w:type="dxa" w:w="828"/>
            <w:tcMar>
              <w:top w:w="50" w:type="dxa"/>
              <w:left w:w="90" w:type="dxa"/>
              <w:bottom w:w="60" w:type="dxa"/>
              <w:right w:w="90" w:type="dxa"/>
            </w:tcMar>
          </w:tcPr>
          <w:p>
            <w:pPr>
              <w:spacing w:before="0" w:after="0" w:line="252" w:lineRule="auto"/>
            </w:pPr>
            <w:r>
              <w:rPr>
                <w:rFonts w:ascii="Calibri" w:hAnsi="Calibri"/>
                <w:sz w:val="19"/>
              </w:rPr>
              <w:t>FL-7</w:t>
            </w:r>
          </w:p>
        </w:tc>
        <w:tc>
          <w:tcPr>
            <w:tcW w:type="dxa" w:w="1133"/>
            <w:tcMar>
              <w:top w:w="50" w:type="dxa"/>
              <w:left w:w="90" w:type="dxa"/>
              <w:bottom w:w="60" w:type="dxa"/>
              <w:right w:w="90" w:type="dxa"/>
            </w:tcMar>
          </w:tcPr>
          <w:p>
            <w:pPr>
              <w:spacing w:before="0" w:after="0" w:line="252" w:lineRule="auto"/>
            </w:pPr>
            <w:r>
              <w:rPr>
                <w:rFonts w:ascii="Calibri" w:hAnsi="Calibri"/>
                <w:sz w:val="19"/>
              </w:rPr>
              <w:t>04_9-12 Part B2</w:t>
            </w:r>
          </w:p>
        </w:tc>
        <w:tc>
          <w:tcPr>
            <w:tcW w:type="dxa" w:w="1781"/>
            <w:tcMar>
              <w:top w:w="50" w:type="dxa"/>
              <w:left w:w="90" w:type="dxa"/>
              <w:bottom w:w="60" w:type="dxa"/>
              <w:right w:w="90" w:type="dxa"/>
            </w:tcMar>
          </w:tcPr>
          <w:p>
            <w:pPr>
              <w:spacing w:before="0" w:after="0" w:line="252" w:lineRule="auto"/>
            </w:pPr>
            <w:r>
              <w:rPr>
                <w:rFonts w:ascii="Calibri" w:hAnsi="Calibri"/>
                <w:sz w:val="19"/>
              </w:rPr>
              <w:t>Workbook: W-P4</w:t>
            </w:r>
          </w:p>
        </w:tc>
        <w:tc>
          <w:tcPr>
            <w:tcW w:type="dxa" w:w="2718"/>
            <w:tcMar>
              <w:top w:w="50" w:type="dxa"/>
              <w:left w:w="90" w:type="dxa"/>
              <w:bottom w:w="60" w:type="dxa"/>
              <w:right w:w="90" w:type="dxa"/>
            </w:tcMar>
          </w:tcPr>
          <w:p>
            <w:pPr>
              <w:spacing w:before="0" w:after="0" w:line="252" w:lineRule="auto"/>
            </w:pPr>
            <w:r>
              <w:rPr>
                <w:rFonts w:ascii="Calibri" w:hAnsi="Calibri"/>
                <w:sz w:val="19"/>
              </w:rPr>
              <w:t>R12 RP4 (eight Situation Cards, Four-Question Strip, Response Menu, Reporting Quick Card)</w:t>
            </w:r>
          </w:p>
        </w:tc>
        <w:tc>
          <w:tcPr>
            <w:tcW w:type="dxa" w:w="1015"/>
            <w:tcMar>
              <w:top w:w="50" w:type="dxa"/>
              <w:left w:w="90" w:type="dxa"/>
              <w:bottom w:w="60" w:type="dxa"/>
              <w:right w:w="90" w:type="dxa"/>
            </w:tcMar>
          </w:tcPr>
          <w:p>
            <w:pPr>
              <w:spacing w:before="0" w:after="0" w:line="252" w:lineRule="auto"/>
            </w:pPr>
            <w:r>
              <w:rPr>
                <w:rFonts w:ascii="Calibri" w:hAnsi="Calibri"/>
                <w:sz w:val="19"/>
              </w:rPr>
              <w:t>Key: W-P4</w:t>
            </w:r>
          </w:p>
        </w:tc>
      </w:tr>
    </w:tbl>
    <w:p>
      <w:pPr>
        <w:spacing w:before="0" w:after="0" w:line="160" w:lineRule="exact"/>
      </w:pPr>
      <w:r>
        <w:rPr>
          <w:sz w:val="2"/>
        </w:rPr>
      </w:r>
    </w:p>
    <w:p>
      <w:r>
        <w:rPr/>
        <w:t>Also added: assessment items (Assessment Pack 6B, unscored, not starred); family cards (Family Engagement Pack Section 12; also R12-D and each lesson); family letters for 6-8 P1 and P2 (Teacher Guide Appendix A, Letters 3 and 4) and 9-12 P1 and P2 (R12-C); counselor checklists (6-8 Appendix B items; 9-12 R12-A and R12-B); exit tickets (R12-E).</w:t>
      </w:r>
    </w:p>
    <w:p>
      <w:pPr>
        <w:pStyle w:val="Heading2"/>
        <w:pBdr>
          <w:top w:val="single" w:sz="18" w:space="6" w:color="FF8A3D"/>
        </w:pBdr>
        <w:spacing w:before="320"/>
      </w:pPr>
      <w:r>
        <w:rPr>
          <w:rFonts w:ascii="Courier New" w:hAnsi="Courier New"/>
          <w:b w:val="0"/>
          <w:color w:val="A8400A"/>
          <w:sz w:val="20"/>
        </w:rPr>
        <w:t xml:space="preserve">02  </w:t>
      </w:r>
      <w:r>
        <w:rPr/>
        <w:t>What changed between the stub and the full lesson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5"/>
        <w:gridCol w:w="5284"/>
        <w:gridCol w:w="3473"/>
      </w:tblGrid>
      <w:tr>
        <w:trPr>
          <w:tblHeader/>
          <w:cantSplit/>
        </w:trPr>
        <w:tc>
          <w:tcPr>
            <w:tcW w:type="dxa" w:w="10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52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CHANGE</w:t>
            </w:r>
          </w:p>
        </w:tc>
        <w:tc>
          <w:tcPr>
            <w:tcW w:type="dxa" w:w="34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6-8 P1, 9-12 P1</w:t>
            </w:r>
          </w:p>
        </w:tc>
        <w:tc>
          <w:tcPr>
            <w:tcW w:type="dxa" w:w="5284"/>
            <w:tcMar>
              <w:top w:w="50" w:type="dxa"/>
              <w:left w:w="90" w:type="dxa"/>
              <w:bottom w:w="60" w:type="dxa"/>
              <w:right w:w="90" w:type="dxa"/>
            </w:tcMar>
          </w:tcPr>
          <w:p>
            <w:pPr>
              <w:spacing w:before="0" w:after="0" w:line="252" w:lineRule="auto"/>
            </w:pPr>
            <w:r>
              <w:rPr>
                <w:rFonts w:ascii="Calibri" w:hAnsi="Calibri"/>
                <w:sz w:val="19"/>
              </w:rPr>
              <w:t xml:space="preserve">The Tell-3 and Helper practice are done </w:t>
            </w:r>
            <w:r>
              <w:rPr>
                <w:rFonts w:ascii="Calibri" w:hAnsi="Calibri"/>
                <w:b/>
                <w:sz w:val="19"/>
              </w:rPr>
              <w:t>for a friend</w:t>
            </w:r>
            <w:r>
              <w:rPr>
                <w:rFonts w:ascii="Calibri" w:hAnsi="Calibri"/>
                <w:sz w:val="19"/>
              </w:rPr>
              <w:t xml:space="preserve"> of the character. Nobody plays Dani, the scout or the person being controlled.</w:t>
            </w:r>
          </w:p>
        </w:tc>
        <w:tc>
          <w:tcPr>
            <w:tcW w:type="dxa" w:w="3473"/>
            <w:tcMar>
              <w:top w:w="50" w:type="dxa"/>
              <w:left w:w="90" w:type="dxa"/>
              <w:bottom w:w="60" w:type="dxa"/>
              <w:right w:w="90" w:type="dxa"/>
            </w:tcMar>
          </w:tcPr>
          <w:p>
            <w:pPr>
              <w:spacing w:before="0" w:after="0" w:line="252" w:lineRule="auto"/>
            </w:pPr>
            <w:r>
              <w:rPr>
                <w:rFonts w:ascii="Calibri" w:hAnsi="Calibri"/>
                <w:sz w:val="19"/>
              </w:rPr>
              <w:t>The safeguard "no role-play of victims or perpetrators". The stub had the speaker say the first-person sentence as the character. Students may still say "I" if they choose, and nobody asks.</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6-8 P1</w:t>
            </w:r>
          </w:p>
        </w:tc>
        <w:tc>
          <w:tcPr>
            <w:tcW w:type="dxa" w:w="5284"/>
            <w:tcMar>
              <w:top w:w="50" w:type="dxa"/>
              <w:left w:w="90" w:type="dxa"/>
              <w:bottom w:w="60" w:type="dxa"/>
              <w:right w:w="90" w:type="dxa"/>
            </w:tcMar>
          </w:tcPr>
          <w:p>
            <w:pPr>
              <w:spacing w:before="0" w:after="0" w:line="252" w:lineRule="auto"/>
            </w:pPr>
            <w:r>
              <w:rPr>
                <w:rFonts w:ascii="Calibri" w:hAnsi="Calibri"/>
                <w:sz w:val="19"/>
              </w:rPr>
              <w:t>Character renamed from Mika to Dani; Offer Cards written (two green, two yellow, two red); Alternate Activity "Job Scams" written (Remy).</w:t>
            </w:r>
          </w:p>
        </w:tc>
        <w:tc>
          <w:tcPr>
            <w:tcW w:type="dxa" w:w="3473"/>
            <w:tcMar>
              <w:top w:w="50" w:type="dxa"/>
              <w:left w:w="90" w:type="dxa"/>
              <w:bottom w:w="60" w:type="dxa"/>
              <w:right w:w="90" w:type="dxa"/>
            </w:tcMar>
          </w:tcPr>
          <w:p>
            <w:pPr>
              <w:spacing w:before="0" w:after="0" w:line="252" w:lineRule="auto"/>
            </w:pPr>
            <w:r>
              <w:rPr>
                <w:rFonts w:ascii="Calibri" w:hAnsi="Calibri"/>
                <w:sz w:val="19"/>
              </w:rPr>
              <w:t>Mika already appears in 6-8 Lesson 10 (ScrollSpot).</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6-8 P1, 9-12 P1</w:t>
            </w:r>
          </w:p>
        </w:tc>
        <w:tc>
          <w:tcPr>
            <w:tcW w:type="dxa" w:w="5284"/>
            <w:tcMar>
              <w:top w:w="50" w:type="dxa"/>
              <w:left w:w="90" w:type="dxa"/>
              <w:bottom w:w="60" w:type="dxa"/>
              <w:right w:w="90" w:type="dxa"/>
            </w:tcMar>
          </w:tcPr>
          <w:p>
            <w:pPr>
              <w:spacing w:before="0" w:after="0" w:line="252" w:lineRule="auto"/>
            </w:pPr>
            <w:r>
              <w:rPr>
                <w:rFonts w:ascii="Calibri" w:hAnsi="Calibri"/>
                <w:sz w:val="19"/>
              </w:rPr>
              <w:t>Added a note that Florida's rule lists "prevalence" among child trafficking prevention topics and that the lesson teaches no numbers.</w:t>
            </w:r>
          </w:p>
        </w:tc>
        <w:tc>
          <w:tcPr>
            <w:tcW w:type="dxa" w:w="3473"/>
            <w:tcMar>
              <w:top w:w="50" w:type="dxa"/>
              <w:left w:w="90" w:type="dxa"/>
              <w:bottom w:w="60" w:type="dxa"/>
              <w:right w:w="90" w:type="dxa"/>
            </w:tcMar>
          </w:tcPr>
          <w:p>
            <w:pPr>
              <w:spacing w:before="0" w:after="0" w:line="252" w:lineRule="auto"/>
            </w:pPr>
            <w:r>
              <w:rPr>
                <w:rFonts w:ascii="Calibri" w:hAnsi="Calibri"/>
                <w:sz w:val="19"/>
              </w:rPr>
              <w:t>Honest gap statement; a specialist or the district decides.</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6-8 P2</w:t>
            </w:r>
          </w:p>
        </w:tc>
        <w:tc>
          <w:tcPr>
            <w:tcW w:type="dxa" w:w="5284"/>
            <w:tcMar>
              <w:top w:w="50" w:type="dxa"/>
              <w:left w:w="90" w:type="dxa"/>
              <w:bottom w:w="60" w:type="dxa"/>
              <w:right w:w="90" w:type="dxa"/>
            </w:tcMar>
          </w:tcPr>
          <w:p>
            <w:pPr>
              <w:spacing w:before="0" w:after="0" w:line="252" w:lineRule="auto"/>
            </w:pPr>
            <w:r>
              <w:rPr>
                <w:rFonts w:ascii="Calibri" w:hAnsi="Calibri"/>
                <w:sz w:val="19"/>
              </w:rPr>
              <w:t xml:space="preserve">Activity rebuilt around a </w:t>
            </w:r>
            <w:r>
              <w:rPr>
                <w:rFonts w:ascii="Calibri" w:hAnsi="Calibri"/>
                <w:b/>
                <w:sz w:val="19"/>
              </w:rPr>
              <w:t>Solid / Still Studied / Hype</w:t>
            </w:r>
            <w:r>
              <w:rPr>
                <w:rFonts w:ascii="Calibri" w:hAnsi="Calibri"/>
                <w:sz w:val="19"/>
              </w:rPr>
              <w:t xml:space="preserve"> sort of six Evidence Cards, then four Signal Cards and the Reset Menu. The stub's eight Signal Cards and the "word check: addiction" step were folded in (the word is in the vocabulary box and the debrief). A teacher-notes table separates "state guide says", "widely accepted, to be confirmed", "still debated" and "popularised, so avoid".</w:t>
            </w:r>
          </w:p>
        </w:tc>
        <w:tc>
          <w:tcPr>
            <w:tcW w:type="dxa" w:w="3473"/>
            <w:tcMar>
              <w:top w:w="50" w:type="dxa"/>
              <w:left w:w="90" w:type="dxa"/>
              <w:bottom w:w="60" w:type="dxa"/>
              <w:right w:w="90" w:type="dxa"/>
            </w:tcMar>
          </w:tcPr>
          <w:p>
            <w:pPr>
              <w:spacing w:before="0" w:after="0" w:line="252" w:lineRule="auto"/>
            </w:pPr>
            <w:r>
              <w:rPr>
                <w:rFonts w:ascii="Calibri" w:hAnsi="Calibri"/>
                <w:sz w:val="19"/>
              </w:rPr>
              <w:t>The brief asked for mental-health effects framed honestly, established versus popularised.</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6-8 P2, 9-12 P2</w:t>
            </w:r>
          </w:p>
        </w:tc>
        <w:tc>
          <w:tcPr>
            <w:tcW w:type="dxa" w:w="5284"/>
            <w:tcMar>
              <w:top w:w="50" w:type="dxa"/>
              <w:left w:w="90" w:type="dxa"/>
              <w:bottom w:w="60" w:type="dxa"/>
              <w:right w:w="90" w:type="dxa"/>
            </w:tcMar>
          </w:tcPr>
          <w:p>
            <w:pPr>
              <w:spacing w:before="0" w:after="0" w:line="252" w:lineRule="auto"/>
            </w:pPr>
            <w:r>
              <w:rPr>
                <w:rFonts w:ascii="Calibri" w:hAnsi="Calibri"/>
                <w:sz w:val="19"/>
              </w:rPr>
              <w:t>Loneliness named in the Hook; community question added (guide p.5).</w:t>
            </w:r>
          </w:p>
        </w:tc>
        <w:tc>
          <w:tcPr>
            <w:tcW w:type="dxa" w:w="3473"/>
            <w:tcMar>
              <w:top w:w="50" w:type="dxa"/>
              <w:left w:w="90" w:type="dxa"/>
              <w:bottom w:w="60" w:type="dxa"/>
              <w:right w:w="90" w:type="dxa"/>
            </w:tcMar>
          </w:tcPr>
          <w:p>
            <w:pPr>
              <w:spacing w:before="0" w:after="0" w:line="252" w:lineRule="auto"/>
            </w:pPr>
            <w:r>
              <w:rPr>
                <w:rFonts w:ascii="Calibri" w:hAnsi="Calibri"/>
                <w:sz w:val="19"/>
              </w:rPr>
              <w:t>Guide-adjusted gap.</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6-8 P3</w:t>
            </w:r>
          </w:p>
        </w:tc>
        <w:tc>
          <w:tcPr>
            <w:tcW w:type="dxa" w:w="5284"/>
            <w:tcMar>
              <w:top w:w="50" w:type="dxa"/>
              <w:left w:w="90" w:type="dxa"/>
              <w:bottom w:w="60" w:type="dxa"/>
              <w:right w:w="90" w:type="dxa"/>
            </w:tcMar>
          </w:tcPr>
          <w:p>
            <w:pPr>
              <w:spacing w:before="0" w:after="0" w:line="252" w:lineRule="auto"/>
            </w:pPr>
            <w:r>
              <w:rPr>
                <w:rFonts w:ascii="Calibri" w:hAnsi="Calibri"/>
                <w:sz w:val="19"/>
              </w:rPr>
              <w:t>Added LOOK CLOSER and DATA to the Check Strip, two extra Claim Cards (a chart whose scale starts at 90; a photo with a wrong date), a health claim, and the report-it move on the Share Pause card.</w:t>
            </w:r>
          </w:p>
        </w:tc>
        <w:tc>
          <w:tcPr>
            <w:tcW w:type="dxa" w:w="3473"/>
            <w:tcMar>
              <w:top w:w="50" w:type="dxa"/>
              <w:left w:w="90" w:type="dxa"/>
              <w:bottom w:w="60" w:type="dxa"/>
              <w:right w:w="90" w:type="dxa"/>
            </w:tcMar>
          </w:tcPr>
          <w:p>
            <w:pPr>
              <w:spacing w:before="0" w:after="0" w:line="252" w:lineRule="auto"/>
            </w:pPr>
            <w:r>
              <w:rPr>
                <w:rFonts w:ascii="Calibri" w:hAnsi="Calibri"/>
                <w:sz w:val="19"/>
              </w:rPr>
              <w:t>Closes the guide's Step 4 and Step 5 gaps (Crosswalk 9.2, C2).</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9-12 P3</w:t>
            </w:r>
          </w:p>
        </w:tc>
        <w:tc>
          <w:tcPr>
            <w:tcW w:type="dxa" w:w="5284"/>
            <w:tcMar>
              <w:top w:w="50" w:type="dxa"/>
              <w:left w:w="90" w:type="dxa"/>
              <w:bottom w:w="60" w:type="dxa"/>
              <w:right w:w="90" w:type="dxa"/>
            </w:tcMar>
          </w:tcPr>
          <w:p>
            <w:pPr>
              <w:spacing w:before="0" w:after="0" w:line="252" w:lineRule="auto"/>
            </w:pPr>
            <w:r>
              <w:rPr>
                <w:rFonts w:ascii="Calibri" w:hAnsi="Calibri"/>
                <w:sz w:val="19"/>
              </w:rPr>
              <w:t>Feed Sorter deck written in two rounds (six, then nine cards); a polished-post card and a targeted-ad card included.</w:t>
            </w:r>
          </w:p>
        </w:tc>
        <w:tc>
          <w:tcPr>
            <w:tcW w:type="dxa" w:w="3473"/>
            <w:tcMar>
              <w:top w:w="50" w:type="dxa"/>
              <w:left w:w="90" w:type="dxa"/>
              <w:bottom w:w="60" w:type="dxa"/>
              <w:right w:w="90" w:type="dxa"/>
            </w:tcMar>
          </w:tcPr>
          <w:p>
            <w:pPr>
              <w:spacing w:before="0" w:after="0" w:line="252" w:lineRule="auto"/>
            </w:pPr>
            <w:r>
              <w:rPr>
                <w:rFonts w:ascii="Calibri" w:hAnsi="Calibri"/>
                <w:sz w:val="19"/>
              </w:rPr>
              <w:t>Closes guide p.9 audience language.</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9-12 P4</w:t>
            </w:r>
          </w:p>
        </w:tc>
        <w:tc>
          <w:tcPr>
            <w:tcW w:type="dxa" w:w="5284"/>
            <w:tcMar>
              <w:top w:w="50" w:type="dxa"/>
              <w:left w:w="90" w:type="dxa"/>
              <w:bottom w:w="60" w:type="dxa"/>
              <w:right w:w="90" w:type="dxa"/>
            </w:tcMar>
          </w:tcPr>
          <w:p>
            <w:pPr>
              <w:spacing w:before="0" w:after="0" w:line="252" w:lineRule="auto"/>
            </w:pPr>
            <w:r>
              <w:rPr>
                <w:rFonts w:ascii="Calibri" w:hAnsi="Calibri"/>
                <w:sz w:val="19"/>
              </w:rPr>
              <w:t>The three-case evidence rule and the "tell first, block with an adult's help, delete nothing" order are in the Response Menu step and on the cards; "do not respond" is split into stranger versus peer-chat cases.</w:t>
            </w:r>
          </w:p>
        </w:tc>
        <w:tc>
          <w:tcPr>
            <w:tcW w:type="dxa" w:w="3473"/>
            <w:tcMar>
              <w:top w:w="50" w:type="dxa"/>
              <w:left w:w="90" w:type="dxa"/>
              <w:bottom w:w="60" w:type="dxa"/>
              <w:right w:w="90" w:type="dxa"/>
            </w:tcMar>
          </w:tcPr>
          <w:p>
            <w:pPr>
              <w:spacing w:before="0" w:after="0" w:line="252" w:lineRule="auto"/>
            </w:pPr>
            <w:r>
              <w:rPr>
                <w:rFonts w:ascii="Calibri" w:hAnsi="Calibri"/>
                <w:sz w:val="19"/>
              </w:rPr>
              <w:t>Crosswalk Section 10, D1 to D3. [COUNSEL TO CONFIRM]</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All</w:t>
            </w:r>
          </w:p>
        </w:tc>
        <w:tc>
          <w:tcPr>
            <w:tcW w:type="dxa" w:w="5284"/>
            <w:tcMar>
              <w:top w:w="50" w:type="dxa"/>
              <w:left w:w="90" w:type="dxa"/>
              <w:bottom w:w="60" w:type="dxa"/>
              <w:right w:w="90" w:type="dxa"/>
            </w:tcMar>
          </w:tcPr>
          <w:p>
            <w:pPr>
              <w:spacing w:before="0" w:after="0" w:line="252" w:lineRule="auto"/>
            </w:pPr>
            <w:r>
              <w:rPr>
                <w:rFonts w:ascii="Calibri" w:hAnsi="Calibri"/>
                <w:sz w:val="19"/>
              </w:rPr>
              <w:t>Added Make It Stick boxes, Opt-out or alternate plans where the lesson is sensitive, Differentiate with low-internet and language access, and Teacher notes with common student questions.</w:t>
            </w:r>
          </w:p>
        </w:tc>
        <w:tc>
          <w:tcPr>
            <w:tcW w:type="dxa" w:w="3473"/>
            <w:tcMar>
              <w:top w:w="50" w:type="dxa"/>
              <w:left w:w="90" w:type="dxa"/>
              <w:bottom w:w="60" w:type="dxa"/>
              <w:right w:w="90" w:type="dxa"/>
            </w:tcMar>
          </w:tcPr>
          <w:p>
            <w:pPr>
              <w:spacing w:before="0" w:after="0" w:line="252" w:lineRule="auto"/>
            </w:pPr>
            <w:r>
              <w:rPr>
                <w:rFonts w:ascii="Calibri" w:hAnsi="Calibri"/>
                <w:sz w:val="19"/>
              </w:rPr>
              <w:t>Locked 12-section template.</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All</w:t>
            </w:r>
          </w:p>
        </w:tc>
        <w:tc>
          <w:tcPr>
            <w:tcW w:type="dxa" w:w="5284"/>
            <w:tcMar>
              <w:top w:w="50" w:type="dxa"/>
              <w:left w:w="90" w:type="dxa"/>
              <w:bottom w:w="60" w:type="dxa"/>
              <w:right w:w="90" w:type="dxa"/>
            </w:tcMar>
          </w:tcPr>
          <w:p>
            <w:pPr>
              <w:spacing w:before="0" w:after="0" w:line="252" w:lineRule="auto"/>
            </w:pPr>
            <w:r>
              <w:rPr>
                <w:rFonts w:ascii="Calibri" w:hAnsi="Calibri"/>
                <w:sz w:val="19"/>
              </w:rPr>
              <w:t>988 is cited with the kit's existing tag "[VERIFIED 2026-10-05: 988lifeline.org, as tagged in Part 6]" (or "as tagged in C1" in 9-12). The stubs had marked it [VERIFY].</w:t>
            </w:r>
          </w:p>
        </w:tc>
        <w:tc>
          <w:tcPr>
            <w:tcW w:type="dxa" w:w="3473"/>
            <w:tcMar>
              <w:top w:w="50" w:type="dxa"/>
              <w:left w:w="90" w:type="dxa"/>
              <w:bottom w:w="60" w:type="dxa"/>
              <w:right w:w="90" w:type="dxa"/>
            </w:tcMar>
          </w:tcPr>
          <w:p>
            <w:pPr>
              <w:spacing w:before="0" w:after="0" w:line="252" w:lineRule="auto"/>
            </w:pPr>
            <w:r>
              <w:rPr>
                <w:rFonts w:ascii="Calibri" w:hAnsi="Calibri"/>
                <w:sz w:val="19"/>
              </w:rPr>
              <w:t>The 6-8 Part 6 and 9-12 C1 lists already carry the VERIFIED tag. If you disagree, change them together.</w:t>
            </w:r>
          </w:p>
        </w:tc>
      </w:tr>
    </w:tbl>
    <w:p>
      <w:pPr>
        <w:spacing w:before="0" w:after="0" w:line="160" w:lineRule="exact"/>
      </w:pPr>
      <w:r>
        <w:rPr>
          <w:sz w:val="2"/>
        </w:rPr>
      </w:r>
    </w:p>
    <w:p>
      <w:r>
        <w:rPr/>
        <w:t>No new hotline, URL or statute was introduced. Every number used is one of: Florida Abuse Hotline 1-800-962-2873, Florida Human Trafficking Hotline 1-855-FLA-SAFE (1-855-352-7233), National Human Trafficking Hotline 1-888-373-7888, 988 and 911, with the tags carried over from the Crosswalk. NCMEC details appear only where the lesson's disclosure box already needed them, with the kit's existing tag. No tag was upgraded. Where the stubs said [VERIFY] and nothing new was read, it stays [VERIFY].</w:t>
      </w:r>
    </w:p>
    <w:p>
      <w:pPr>
        <w:pStyle w:val="Heading2"/>
        <w:pBdr>
          <w:top w:val="single" w:sz="18" w:space="6" w:color="FF8A3D"/>
        </w:pBdr>
        <w:spacing w:before="320"/>
      </w:pPr>
      <w:r>
        <w:rPr>
          <w:rFonts w:ascii="Courier New" w:hAnsi="Courier New"/>
          <w:b w:val="0"/>
          <w:color w:val="A8400A"/>
          <w:sz w:val="20"/>
        </w:rPr>
        <w:t xml:space="preserve">03  </w:t>
      </w:r>
      <w:r>
        <w:rPr/>
        <w:t>Edits to existing lessons (P-1 to P-10)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21"/>
        <w:gridCol w:w="4489"/>
        <w:gridCol w:w="4682"/>
      </w:tblGrid>
      <w:tr>
        <w:trPr>
          <w:tblHeader/>
          <w:cantSplit/>
        </w:trPr>
        <w:tc>
          <w:tcPr>
            <w:tcW w:type="dxa" w:w="6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ID</w:t>
            </w:r>
          </w:p>
        </w:tc>
        <w:tc>
          <w:tcPr>
            <w:tcW w:type="dxa" w:w="44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FILE AND PLACE</w:t>
            </w:r>
          </w:p>
        </w:tc>
        <w:tc>
          <w:tcPr>
            <w:tcW w:type="dxa" w:w="46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CHANGE</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P-1</w:t>
            </w:r>
          </w:p>
        </w:tc>
        <w:tc>
          <w:tcPr>
            <w:tcW w:type="dxa" w:w="4489"/>
            <w:tcMar>
              <w:top w:w="50" w:type="dxa"/>
              <w:left w:w="90" w:type="dxa"/>
              <w:bottom w:w="60" w:type="dxa"/>
              <w:right w:w="90" w:type="dxa"/>
            </w:tcMar>
          </w:tcPr>
          <w:p>
            <w:pPr>
              <w:spacing w:before="0" w:after="0" w:line="252" w:lineRule="auto"/>
            </w:pPr>
            <w:r>
              <w:rPr>
                <w:rFonts w:ascii="Calibri" w:hAnsi="Calibri"/>
                <w:sz w:val="19"/>
              </w:rPr>
              <w:t>6-8 Teacher Guide, Lesson 4, after Step 4; Takeaway</w:t>
            </w:r>
          </w:p>
        </w:tc>
        <w:tc>
          <w:tcPr>
            <w:tcW w:type="dxa" w:w="4682"/>
            <w:tcMar>
              <w:top w:w="50" w:type="dxa"/>
              <w:left w:w="90" w:type="dxa"/>
              <w:bottom w:w="60" w:type="dxa"/>
              <w:right w:w="90" w:type="dxa"/>
            </w:tcMar>
          </w:tcPr>
          <w:p>
            <w:pPr>
              <w:spacing w:before="0" w:after="0" w:line="252" w:lineRule="auto"/>
            </w:pPr>
            <w:r>
              <w:rPr>
                <w:rFonts w:ascii="Calibri" w:hAnsi="Calibri"/>
                <w:sz w:val="19"/>
              </w:rPr>
              <w:t>Copy Chain block (3 min, replacing the Step 4 share-out and using two screens in the audit); Takeaway adds "pause before you post: it can outlive your delete button".</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P-2</w:t>
            </w:r>
          </w:p>
        </w:tc>
        <w:tc>
          <w:tcPr>
            <w:tcW w:type="dxa" w:w="4489"/>
            <w:tcMar>
              <w:top w:w="50" w:type="dxa"/>
              <w:left w:w="90" w:type="dxa"/>
              <w:bottom w:w="60" w:type="dxa"/>
              <w:right w:w="90" w:type="dxa"/>
            </w:tcMar>
          </w:tcPr>
          <w:p>
            <w:pPr>
              <w:spacing w:before="0" w:after="0" w:line="252" w:lineRule="auto"/>
            </w:pPr>
            <w:r>
              <w:rPr>
                <w:rFonts w:ascii="Calibri" w:hAnsi="Calibri"/>
                <w:sz w:val="19"/>
              </w:rPr>
              <w:t>6-8 Lesson 9, Hook; Teacher notes</w:t>
            </w:r>
          </w:p>
        </w:tc>
        <w:tc>
          <w:tcPr>
            <w:tcW w:type="dxa" w:w="4682"/>
            <w:tcMar>
              <w:top w:w="50" w:type="dxa"/>
              <w:left w:w="90" w:type="dxa"/>
              <w:bottom w:w="60" w:type="dxa"/>
              <w:right w:w="90" w:type="dxa"/>
            </w:tcMar>
          </w:tcPr>
          <w:p>
            <w:pPr>
              <w:spacing w:before="0" w:after="0" w:line="252" w:lineRule="auto"/>
            </w:pPr>
            <w:r>
              <w:rPr>
                <w:rFonts w:ascii="Calibri" w:hAnsi="Calibri"/>
                <w:sz w:val="19"/>
              </w:rPr>
              <w:t>Sentence naming cyberbullying; note with s. 1006.147 [VERIFIED read in part] and the guide's two definitions.</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P-3</w:t>
            </w:r>
          </w:p>
        </w:tc>
        <w:tc>
          <w:tcPr>
            <w:tcW w:type="dxa" w:w="4489"/>
            <w:tcMar>
              <w:top w:w="50" w:type="dxa"/>
              <w:left w:w="90" w:type="dxa"/>
              <w:bottom w:w="60" w:type="dxa"/>
              <w:right w:w="90" w:type="dxa"/>
            </w:tcMar>
          </w:tcPr>
          <w:p>
            <w:pPr>
              <w:spacing w:before="0" w:after="0" w:line="252" w:lineRule="auto"/>
            </w:pPr>
            <w:r>
              <w:rPr>
                <w:rFonts w:ascii="Calibri" w:hAnsi="Calibri"/>
                <w:sz w:val="19"/>
              </w:rPr>
              <w:t>6-8 Teacher Guide Part 6; Workbook help lines; Reproducibles R0-7; 9-12 A6, C1; Reproducibles R5 and R11-D; Workbook Help Page</w:t>
            </w:r>
          </w:p>
        </w:tc>
        <w:tc>
          <w:tcPr>
            <w:tcW w:type="dxa" w:w="4682"/>
            <w:tcMar>
              <w:top w:w="50" w:type="dxa"/>
              <w:left w:w="90" w:type="dxa"/>
              <w:bottom w:w="60" w:type="dxa"/>
              <w:right w:w="90" w:type="dxa"/>
            </w:tcMar>
          </w:tcPr>
          <w:p>
            <w:pPr>
              <w:spacing w:before="0" w:after="0" w:line="252" w:lineRule="auto"/>
            </w:pPr>
            <w:r>
              <w:rPr>
                <w:rFonts w:ascii="Calibri" w:hAnsi="Calibri"/>
                <w:sz w:val="19"/>
              </w:rPr>
              <w:t>Florida rows (three hotlines, school resource officer fill-in, duty line, the s. 1006.481 route).</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P-4</w:t>
            </w:r>
          </w:p>
        </w:tc>
        <w:tc>
          <w:tcPr>
            <w:tcW w:type="dxa" w:w="4489"/>
            <w:tcMar>
              <w:top w:w="50" w:type="dxa"/>
              <w:left w:w="90" w:type="dxa"/>
              <w:bottom w:w="60" w:type="dxa"/>
              <w:right w:w="90" w:type="dxa"/>
            </w:tcMar>
          </w:tcPr>
          <w:p>
            <w:pPr>
              <w:spacing w:before="0" w:after="0" w:line="252" w:lineRule="auto"/>
            </w:pPr>
            <w:r>
              <w:rPr>
                <w:rFonts w:ascii="Calibri" w:hAnsi="Calibri"/>
                <w:sz w:val="19"/>
              </w:rPr>
              <w:t>6-8 Lesson 10, Teacher notes</w:t>
            </w:r>
          </w:p>
        </w:tc>
        <w:tc>
          <w:tcPr>
            <w:tcW w:type="dxa" w:w="4682"/>
            <w:tcMar>
              <w:top w:w="50" w:type="dxa"/>
              <w:left w:w="90" w:type="dxa"/>
              <w:bottom w:w="60" w:type="dxa"/>
              <w:right w:w="90" w:type="dxa"/>
            </w:tcMar>
          </w:tcPr>
          <w:p>
            <w:pPr>
              <w:spacing w:before="0" w:after="0" w:line="252" w:lineRule="auto"/>
            </w:pPr>
            <w:r>
              <w:rPr>
                <w:rFonts w:ascii="Calibri" w:hAnsi="Calibri"/>
                <w:sz w:val="19"/>
              </w:rPr>
              <w:t>Florida requirement sentence; plain words; only a health professional diagnoses.</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P-5</w:t>
            </w:r>
          </w:p>
        </w:tc>
        <w:tc>
          <w:tcPr>
            <w:tcW w:type="dxa" w:w="4489"/>
            <w:tcMar>
              <w:top w:w="50" w:type="dxa"/>
              <w:left w:w="90" w:type="dxa"/>
              <w:bottom w:w="60" w:type="dxa"/>
              <w:right w:w="90" w:type="dxa"/>
            </w:tcMar>
          </w:tcPr>
          <w:p>
            <w:pPr>
              <w:spacing w:before="0" w:after="0" w:line="252" w:lineRule="auto"/>
            </w:pPr>
            <w:r>
              <w:rPr>
                <w:rFonts w:ascii="Calibri" w:hAnsi="Calibri"/>
                <w:sz w:val="19"/>
              </w:rPr>
              <w:t>6-8 Part 5 standards flags; 9-12 A9</w:t>
            </w:r>
          </w:p>
        </w:tc>
        <w:tc>
          <w:tcPr>
            <w:tcW w:type="dxa" w:w="4682"/>
            <w:tcMar>
              <w:top w:w="50" w:type="dxa"/>
              <w:left w:w="90" w:type="dxa"/>
              <w:bottom w:w="60" w:type="dxa"/>
              <w:right w:w="90" w:type="dxa"/>
            </w:tcMar>
          </w:tcPr>
          <w:p>
            <w:pPr>
              <w:spacing w:before="0" w:after="0" w:line="252" w:lineRule="auto"/>
            </w:pPr>
            <w:r>
              <w:rPr>
                <w:rFonts w:ascii="Calibri" w:hAnsi="Calibri"/>
                <w:sz w:val="19"/>
              </w:rPr>
              <w:t>Florida context line updated (statute, FLDOE materials, Rule 6A-1.094124, no FLDOE review).</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P-6</w:t>
            </w:r>
          </w:p>
        </w:tc>
        <w:tc>
          <w:tcPr>
            <w:tcW w:type="dxa" w:w="4489"/>
            <w:tcMar>
              <w:top w:w="50" w:type="dxa"/>
              <w:left w:w="90" w:type="dxa"/>
              <w:bottom w:w="60" w:type="dxa"/>
              <w:right w:w="90" w:type="dxa"/>
            </w:tcMar>
          </w:tcPr>
          <w:p>
            <w:pPr>
              <w:spacing w:before="0" w:after="0" w:line="252" w:lineRule="auto"/>
            </w:pPr>
            <w:r>
              <w:rPr>
                <w:rFonts w:ascii="Calibri" w:hAnsi="Calibri"/>
                <w:sz w:val="19"/>
              </w:rPr>
              <w:t>Counselor Heads-Up and Opt-Out Toolkit</w:t>
            </w:r>
          </w:p>
        </w:tc>
        <w:tc>
          <w:tcPr>
            <w:tcW w:type="dxa" w:w="4682"/>
            <w:tcMar>
              <w:top w:w="50" w:type="dxa"/>
              <w:left w:w="90" w:type="dxa"/>
              <w:bottom w:w="60" w:type="dxa"/>
              <w:right w:w="90" w:type="dxa"/>
            </w:tcMar>
          </w:tcPr>
          <w:p>
            <w:pPr>
              <w:spacing w:before="0" w:after="0" w:line="252" w:lineRule="auto"/>
            </w:pPr>
            <w:r>
              <w:rPr>
                <w:rFonts w:ascii="Calibri" w:hAnsi="Calibri"/>
                <w:sz w:val="19"/>
              </w:rPr>
              <w:t>Florida note on the statutory exemption; sensitive table updated; plus-lesson alternates.</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P-7</w:t>
            </w:r>
          </w:p>
        </w:tc>
        <w:tc>
          <w:tcPr>
            <w:tcW w:type="dxa" w:w="4489"/>
            <w:tcMar>
              <w:top w:w="50" w:type="dxa"/>
              <w:left w:w="90" w:type="dxa"/>
              <w:bottom w:w="60" w:type="dxa"/>
              <w:right w:w="90" w:type="dxa"/>
            </w:tcMar>
          </w:tcPr>
          <w:p>
            <w:pPr>
              <w:spacing w:before="0" w:after="0" w:line="252" w:lineRule="auto"/>
            </w:pPr>
            <w:r>
              <w:rPr>
                <w:rFonts w:ascii="Calibri" w:hAnsi="Calibri"/>
                <w:sz w:val="19"/>
              </w:rPr>
              <w:t>6-8 Lesson 10 (Step 2 words box; Teacher notes); 9-12 Lesson 10 (well-being line; Teacher notes)</w:t>
            </w:r>
          </w:p>
        </w:tc>
        <w:tc>
          <w:tcPr>
            <w:tcW w:type="dxa" w:w="4682"/>
            <w:tcMar>
              <w:top w:w="50" w:type="dxa"/>
              <w:left w:w="90" w:type="dxa"/>
              <w:bottom w:w="60" w:type="dxa"/>
              <w:right w:w="90" w:type="dxa"/>
            </w:tcMar>
          </w:tcPr>
          <w:p>
            <w:pPr>
              <w:spacing w:before="0" w:after="0" w:line="252" w:lineRule="auto"/>
            </w:pPr>
            <w:r>
              <w:rPr>
                <w:rFonts w:ascii="Calibri" w:hAnsi="Calibri"/>
                <w:sz w:val="19"/>
              </w:rPr>
              <w:t>Push notification and social comparison defined; optional reward sentence flagged [VERIFY]; no "dopamine hit", no "like drugs".</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P-8</w:t>
            </w:r>
          </w:p>
        </w:tc>
        <w:tc>
          <w:tcPr>
            <w:tcW w:type="dxa" w:w="4489"/>
            <w:tcMar>
              <w:top w:w="50" w:type="dxa"/>
              <w:left w:w="90" w:type="dxa"/>
              <w:bottom w:w="60" w:type="dxa"/>
              <w:right w:w="90" w:type="dxa"/>
            </w:tcMar>
          </w:tcPr>
          <w:p>
            <w:pPr>
              <w:spacing w:before="0" w:after="0" w:line="252" w:lineRule="auto"/>
            </w:pPr>
            <w:r>
              <w:rPr>
                <w:rFonts w:ascii="Calibri" w:hAnsi="Calibri"/>
                <w:sz w:val="19"/>
              </w:rPr>
              <w:t>6-8 Part 5 (device basics add-on), Lessons 2, 3, 4 notes, Lesson 4 Step 3; 9-12 Lessons 1, 2, 4, 9 teacher notes</w:t>
            </w:r>
          </w:p>
        </w:tc>
        <w:tc>
          <w:tcPr>
            <w:tcW w:type="dxa" w:w="4682"/>
            <w:tcMar>
              <w:top w:w="50" w:type="dxa"/>
              <w:left w:w="90" w:type="dxa"/>
              <w:bottom w:w="60" w:type="dxa"/>
              <w:right w:w="90" w:type="dxa"/>
            </w:tcMar>
          </w:tcPr>
          <w:p>
            <w:pPr>
              <w:spacing w:before="0" w:after="0" w:line="252" w:lineRule="auto"/>
            </w:pPr>
            <w:r>
              <w:rPr>
                <w:rFonts w:ascii="Calibri" w:hAnsi="Calibri"/>
                <w:sz w:val="19"/>
              </w:rPr>
              <w:t>Updates, public Wi-Fi, PII, gaming settings, cache nuance; 9-12 privacy and copyright lines. Not done: a 6-8 law line; a FLAGS rewording.</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P-9</w:t>
            </w:r>
          </w:p>
        </w:tc>
        <w:tc>
          <w:tcPr>
            <w:tcW w:type="dxa" w:w="4489"/>
            <w:tcMar>
              <w:top w:w="50" w:type="dxa"/>
              <w:left w:w="90" w:type="dxa"/>
              <w:bottom w:w="60" w:type="dxa"/>
              <w:right w:w="90" w:type="dxa"/>
            </w:tcMar>
          </w:tcPr>
          <w:p>
            <w:pPr>
              <w:spacing w:before="0" w:after="0" w:line="252" w:lineRule="auto"/>
            </w:pPr>
            <w:r>
              <w:rPr>
                <w:rFonts w:ascii="Calibri" w:hAnsi="Calibri"/>
                <w:sz w:val="19"/>
              </w:rPr>
              <w:t>6-8 Part 6 (three-case rule); Reproducibles R0-2 (school resource officer), R0-7, R7 card; Lesson 1 Discuss Q4; 9-12 A6, R5, R11-D, Help Page; Disclosure and Incident Guide Section 6B</w:t>
            </w:r>
          </w:p>
        </w:tc>
        <w:tc>
          <w:tcPr>
            <w:tcW w:type="dxa" w:w="4682"/>
            <w:tcMar>
              <w:top w:w="50" w:type="dxa"/>
              <w:left w:w="90" w:type="dxa"/>
              <w:bottom w:w="60" w:type="dxa"/>
              <w:right w:w="90" w:type="dxa"/>
            </w:tcMar>
          </w:tcPr>
          <w:p>
            <w:pPr>
              <w:spacing w:before="0" w:after="0" w:line="252" w:lineRule="auto"/>
            </w:pPr>
            <w:r>
              <w:rPr>
                <w:rFonts w:ascii="Calibri" w:hAnsi="Calibri"/>
                <w:sz w:val="19"/>
              </w:rPr>
              <w:t>Evidence in three cases; school resource officer as a fill-in; bank step for money scams; the positive-outcomes question. R8's card already forbade saving the image and was left alone.</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P-10</w:t>
            </w:r>
          </w:p>
        </w:tc>
        <w:tc>
          <w:tcPr>
            <w:tcW w:type="dxa" w:w="4489"/>
            <w:tcMar>
              <w:top w:w="50" w:type="dxa"/>
              <w:left w:w="90" w:type="dxa"/>
              <w:bottom w:w="60" w:type="dxa"/>
              <w:right w:w="90" w:type="dxa"/>
            </w:tcMar>
          </w:tcPr>
          <w:p>
            <w:pPr>
              <w:spacing w:before="0" w:after="0" w:line="252" w:lineRule="auto"/>
            </w:pPr>
            <w:r>
              <w:rPr>
                <w:rFonts w:ascii="Calibri" w:hAnsi="Calibri"/>
                <w:sz w:val="19"/>
              </w:rPr>
              <w:t>9-12 Lesson 6; Reproducibles R6; Workbook W6; Answer Key W6</w:t>
            </w:r>
          </w:p>
        </w:tc>
        <w:tc>
          <w:tcPr>
            <w:tcW w:type="dxa" w:w="4682"/>
            <w:tcMar>
              <w:top w:w="50" w:type="dxa"/>
              <w:left w:w="90" w:type="dxa"/>
              <w:bottom w:w="60" w:type="dxa"/>
              <w:right w:w="90" w:type="dxa"/>
            </w:tcMar>
          </w:tcPr>
          <w:p>
            <w:pPr>
              <w:spacing w:before="0" w:after="0" w:line="252" w:lineRule="auto"/>
            </w:pPr>
            <w:r>
              <w:rPr>
                <w:rFonts w:ascii="Calibri" w:hAnsi="Calibri"/>
                <w:sz w:val="19"/>
              </w:rPr>
              <w:t>V9 chart Claim Card; Report move; data check wording.</w:t>
            </w:r>
          </w:p>
        </w:tc>
      </w:tr>
    </w:tbl>
    <w:p>
      <w:pPr>
        <w:spacing w:before="0" w:after="0" w:line="160" w:lineRule="exact"/>
      </w:pPr>
      <w:r>
        <w:rPr>
          <w:sz w:val="2"/>
        </w:rPr>
      </w:r>
    </w:p>
    <w:p>
      <w:r>
        <w:rPr/>
        <w:t>Also changed: Disclosure and Incident Guide (new Section 6B, escalation map rows, Florida resource rows); Counselor Toolkit; Assessment Pack (new Section 6B); Family Engagement Pack (Letter B bullets, conversation starters, Section 12); README_Kit_Index; Teacher Guide contents, pacing and pathways (6-8 Part 5; 9-12 A8); District_Adoption_Guide (stub references replaced); Florida_HB379_Crosswalk (Section 5.1 verdicts, Section 7.1 status, Section 8 names); Gap_Lesson_Stubs (status and map).</w:t>
      </w:r>
    </w:p>
    <w:p>
      <w:pPr>
        <w:pStyle w:val="Heading2"/>
        <w:pBdr>
          <w:top w:val="single" w:sz="18" w:space="6" w:color="FF8A3D"/>
        </w:pBdr>
        <w:spacing w:before="320"/>
      </w:pPr>
      <w:r>
        <w:rPr>
          <w:rFonts w:ascii="Courier New" w:hAnsi="Courier New"/>
          <w:b w:val="0"/>
          <w:color w:val="A8400A"/>
          <w:sz w:val="20"/>
        </w:rPr>
        <w:t xml:space="preserve">04  </w:t>
      </w:r>
      <w:r>
        <w:rPr/>
        <w:t>Not changed</w:t>
      </w:r>
    </w:p>
    <w:p>
      <w:pPr>
        <w:pStyle w:val="ListBullet"/>
      </w:pPr>
      <w:r>
        <w:rPr/>
        <w:t>tools/, the design files, kit/23_State_Atlas (other teams).</w:t>
      </w:r>
    </w:p>
    <w:p>
      <w:pPr>
        <w:pStyle w:val="ListBullet"/>
      </w:pPr>
      <w:r>
        <w:rPr/>
        <w:t>Every existing disclosure box, script and [VERIFY] flag in the core lessons.</w:t>
      </w:r>
    </w:p>
    <w:p>
      <w:pPr>
        <w:pStyle w:val="ListBullet"/>
      </w:pPr>
      <w:r>
        <w:rPr/>
        <w:t>Spanish: not translated. See 18_Espanol/TODO_new_lessons.md.</w:t>
      </w:r>
    </w:p>
    <w:p>
      <w:pPr>
        <w:pStyle w:val="ListBullet"/>
      </w:pPr>
      <w:r>
        <w:rPr/>
        <w:t>Games, Teacher Academy, Facilitator Kit, Hackles Day Kit and the K-5 bands. Teacher Academy Module 6 and the Teacher FAQ do not yet mention the Plus lessons; add a line each when the lessons are cleared.</w:t>
      </w:r>
    </w:p>
    <w:p>
      <w:pPr>
        <w:pStyle w:val="Heading2"/>
        <w:pBdr>
          <w:top w:val="single" w:sz="18" w:space="6" w:color="FF8A3D"/>
        </w:pBdr>
        <w:spacing w:before="320"/>
      </w:pPr>
      <w:r>
        <w:rPr>
          <w:rFonts w:ascii="Courier New" w:hAnsi="Courier New"/>
          <w:b w:val="0"/>
          <w:color w:val="A8400A"/>
          <w:sz w:val="20"/>
        </w:rPr>
        <w:t xml:space="preserve">05  </w:t>
      </w:r>
      <w:r>
        <w:rPr/>
        <w:t>Open items</w:t>
      </w:r>
    </w:p>
    <w:p>
      <w:pPr>
        <w:spacing w:before="0" w:after="60"/>
        <w:ind w:left="504" w:hanging="360"/>
      </w:pPr>
      <w:r>
        <w:rPr>
          <w:b/>
          <w:color w:val="2F6F73"/>
        </w:rPr>
        <w:t xml:space="preserve">1. </w:t>
      </w:r>
      <w:r>
        <w:rPr/>
        <w:t>Specialist review of both P1 lessons (trafficking-prevention specialist). Do not teach until done.</w:t>
      </w:r>
    </w:p>
    <w:p>
      <w:pPr>
        <w:spacing w:before="0" w:after="60"/>
        <w:ind w:left="504" w:hanging="360"/>
      </w:pPr>
      <w:r>
        <w:rPr>
          <w:b/>
          <w:color w:val="2F6F73"/>
        </w:rPr>
        <w:t xml:space="preserve">2. </w:t>
      </w:r>
      <w:r>
        <w:rPr/>
        <w:t>Counselor or clinician review of both P2 lessons, including the Evidence Cards, the reward sentence and the established-versus-popularised table.</w:t>
      </w:r>
    </w:p>
    <w:p>
      <w:pPr>
        <w:spacing w:before="0" w:after="60"/>
        <w:ind w:left="504" w:hanging="360"/>
      </w:pPr>
      <w:r>
        <w:rPr>
          <w:b/>
          <w:color w:val="2F6F73"/>
        </w:rPr>
        <w:t xml:space="preserve">3. </w:t>
      </w:r>
      <w:r>
        <w:rPr/>
        <w:t>Educator reads of 6-8 P3 and 9-12 P3 and P4.</w:t>
      </w:r>
    </w:p>
    <w:p>
      <w:pPr>
        <w:spacing w:before="0" w:after="60"/>
        <w:ind w:left="504" w:hanging="360"/>
      </w:pPr>
      <w:r>
        <w:rPr>
          <w:b/>
          <w:color w:val="2F6F73"/>
        </w:rPr>
        <w:t xml:space="preserve">4. </w:t>
      </w:r>
      <w:r>
        <w:rPr/>
        <w:t>Counsel on the evidence wording (D1), the school resource officer and device handling (D4), the s. 1006.147 quotation, the s. 501.1736 hook sentence in 9-12 P3, and the 9-12 privacy and copyright lines.</w:t>
      </w:r>
    </w:p>
    <w:p>
      <w:pPr>
        <w:spacing w:before="0" w:after="60"/>
        <w:ind w:left="504" w:hanging="360"/>
      </w:pPr>
      <w:r>
        <w:rPr>
          <w:b/>
          <w:color w:val="2F6F73"/>
        </w:rPr>
        <w:t xml:space="preserve">5. </w:t>
      </w:r>
      <w:r>
        <w:rPr/>
        <w:t>District IT on the device-basics wording (updates, public Wi-Fi, cache).</w:t>
      </w:r>
    </w:p>
    <w:p>
      <w:pPr>
        <w:spacing w:before="0" w:after="60"/>
        <w:ind w:left="504" w:hanging="360"/>
      </w:pPr>
      <w:r>
        <w:rPr>
          <w:b/>
          <w:color w:val="2F6F73"/>
        </w:rPr>
        <w:t xml:space="preserve">6. </w:t>
      </w:r>
      <w:r>
        <w:rPr/>
        <w:t>Fact-check every hotline and URL within 14 days of release (gate D).</w:t>
      </w:r>
    </w:p>
    <w:p>
      <w:pPr>
        <w:spacing w:before="0" w:after="60"/>
        <w:ind w:left="504" w:hanging="360"/>
      </w:pPr>
      <w:r>
        <w:rPr>
          <w:b/>
          <w:color w:val="2F6F73"/>
        </w:rPr>
        <w:t xml:space="preserve">7. </w:t>
      </w:r>
      <w:r>
        <w:rPr/>
        <w:t>Accessibility review and one classroom pilot per lesson (gates E and F).</w:t>
      </w:r>
    </w:p>
    <w:p>
      <w:pPr>
        <w:spacing w:before="0" w:after="60"/>
        <w:ind w:left="504" w:hanging="360"/>
      </w:pPr>
      <w:r>
        <w:rPr>
          <w:b/>
          <w:color w:val="2F6F73"/>
        </w:rPr>
        <w:t xml:space="preserve">8. </w:t>
      </w:r>
      <w:r>
        <w:rPr/>
        <w:t>Word counts and counts of [VERIFY] tags in the README status table need regenerating.</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FLORIDA · PLUS LESSONS CHANGELOG</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Florida · Plus Lessons Changelog</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