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State Alignment Atlas · Unknowns (Part 1, A to M)</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t>A free kit by Competence Collective · competencecollective.org · quillsup.org · © 2026 Competence Collective. CC BY-NC 4.0 for lesson text; Hackles name, logos, characters and artwork excluded. [VERIFY with counsel]</w:t>
      </w:r>
    </w:p>
    <w:p>
      <w:r>
        <w:rPr>
          <w:b/>
        </w:rPr>
        <w:t>Status: DRAFT, 2026-10-05.</w:t>
      </w:r>
      <w:r>
        <w:rPr/>
        <w:t xml:space="preserve"> This list is what I could not settle. "Why it matters" is the effect on a Hackles claim. Everything here stays [VERIFY] in States_A-M.md.</w:t>
      </w:r>
    </w:p>
    <w:p>
      <w:pPr>
        <w:pStyle w:val="Heading2"/>
        <w:pBdr>
          <w:top w:val="single" w:sz="18" w:space="6" w:color="FF8A3D"/>
        </w:pBdr>
        <w:spacing w:before="320"/>
      </w:pPr>
      <w:r>
        <w:rPr>
          <w:rFonts w:ascii="Courier New" w:hAnsi="Courier New"/>
          <w:b w:val="0"/>
          <w:color w:val="A8400A"/>
          <w:sz w:val="20"/>
        </w:rPr>
        <w:t xml:space="preserve">01  </w:t>
      </w:r>
      <w:r>
        <w:rPr/>
        <w:t>Biggest unknowns (affect a mandate verdict)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1444"/>
        <w:gridCol w:w="2942"/>
        <w:gridCol w:w="2207"/>
        <w:gridCol w:w="2759"/>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4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STATE</w:t>
            </w:r>
          </w:p>
        </w:tc>
        <w:tc>
          <w:tcPr>
            <w:tcW w:type="dxa" w:w="29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UNKNOWN</w:t>
            </w:r>
          </w:p>
        </w:tc>
        <w:tc>
          <w:tcPr>
            <w:tcW w:type="dxa" w:w="22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MATTERS</w:t>
            </w:r>
          </w:p>
        </w:tc>
        <w:tc>
          <w:tcPr>
            <w:tcW w:type="dxa" w:w="27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SETTLE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1444"/>
            <w:tcMar>
              <w:top w:w="50" w:type="dxa"/>
              <w:left w:w="90" w:type="dxa"/>
              <w:bottom w:w="60" w:type="dxa"/>
              <w:right w:w="90" w:type="dxa"/>
            </w:tcMar>
          </w:tcPr>
          <w:p>
            <w:pPr>
              <w:spacing w:before="0" w:after="0" w:line="252" w:lineRule="auto"/>
            </w:pPr>
            <w:r>
              <w:rPr>
                <w:rFonts w:ascii="Calibri" w:hAnsi="Calibri"/>
                <w:sz w:val="19"/>
              </w:rPr>
              <w:t>Mississippi</w:t>
            </w:r>
          </w:p>
        </w:tc>
        <w:tc>
          <w:tcPr>
            <w:tcW w:type="dxa" w:w="2942"/>
            <w:tcMar>
              <w:top w:w="50" w:type="dxa"/>
              <w:left w:w="90" w:type="dxa"/>
              <w:bottom w:w="60" w:type="dxa"/>
              <w:right w:w="90" w:type="dxa"/>
            </w:tcMar>
          </w:tcPr>
          <w:p>
            <w:pPr>
              <w:spacing w:before="0" w:after="0" w:line="252" w:lineRule="auto"/>
            </w:pPr>
            <w:r>
              <w:rPr>
                <w:rFonts w:ascii="Calibri" w:hAnsi="Calibri"/>
                <w:sz w:val="19"/>
              </w:rPr>
              <w:t>Whether HB 1224 (2026, Ch. 454) Section 2 requires districts to teach the social media safety curriculum, or only requires MDE to offer it; Section 1(2)(e) disclaims a new mandate for the Section 1 guide.</w:t>
            </w:r>
          </w:p>
        </w:tc>
        <w:tc>
          <w:tcPr>
            <w:tcW w:type="dxa" w:w="2207"/>
            <w:tcMar>
              <w:top w:w="50" w:type="dxa"/>
              <w:left w:w="90" w:type="dxa"/>
              <w:bottom w:w="60" w:type="dxa"/>
              <w:right w:w="90" w:type="dxa"/>
            </w:tcMar>
          </w:tcPr>
          <w:p>
            <w:pPr>
              <w:spacing w:before="0" w:after="0" w:line="252" w:lineRule="auto"/>
            </w:pPr>
            <w:r>
              <w:rPr>
                <w:rFonts w:ascii="Calibri" w:hAnsi="Calibri"/>
                <w:sz w:val="19"/>
              </w:rPr>
              <w:t>Decides whether MS is a "mandate" state; it is the Florida-style component list.</w:t>
            </w:r>
          </w:p>
        </w:tc>
        <w:tc>
          <w:tcPr>
            <w:tcW w:type="dxa" w:w="2759"/>
            <w:tcMar>
              <w:top w:w="50" w:type="dxa"/>
              <w:left w:w="90" w:type="dxa"/>
              <w:bottom w:w="60" w:type="dxa"/>
              <w:right w:w="90" w:type="dxa"/>
            </w:tcMar>
          </w:tcPr>
          <w:p>
            <w:pPr>
              <w:spacing w:before="0" w:after="0" w:line="252" w:lineRule="auto"/>
            </w:pPr>
            <w:r>
              <w:rPr>
                <w:rFonts w:ascii="Calibri" w:hAnsi="Calibri"/>
                <w:sz w:val="19"/>
              </w:rPr>
              <w:t>Read MDE guidance or rules; ask MDE. Re-check after MDE publishes the curriculum.</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1444"/>
            <w:tcMar>
              <w:top w:w="50" w:type="dxa"/>
              <w:left w:w="90" w:type="dxa"/>
              <w:bottom w:w="60" w:type="dxa"/>
              <w:right w:w="90" w:type="dxa"/>
            </w:tcMar>
          </w:tcPr>
          <w:p>
            <w:pPr>
              <w:spacing w:before="0" w:after="0" w:line="252" w:lineRule="auto"/>
            </w:pPr>
            <w:r>
              <w:rPr>
                <w:rFonts w:ascii="Calibri" w:hAnsi="Calibri"/>
                <w:sz w:val="19"/>
              </w:rPr>
              <w:t>Georgia</w:t>
            </w:r>
          </w:p>
        </w:tc>
        <w:tc>
          <w:tcPr>
            <w:tcW w:type="dxa" w:w="2942"/>
            <w:tcMar>
              <w:top w:w="50" w:type="dxa"/>
              <w:left w:w="90" w:type="dxa"/>
              <w:bottom w:w="60" w:type="dxa"/>
              <w:right w:w="90" w:type="dxa"/>
            </w:tcMar>
          </w:tcPr>
          <w:p>
            <w:pPr>
              <w:spacing w:before="0" w:after="0" w:line="252" w:lineRule="auto"/>
            </w:pPr>
            <w:r>
              <w:rPr>
                <w:rFonts w:ascii="Calibri" w:hAnsi="Calibri"/>
                <w:sz w:val="19"/>
              </w:rPr>
              <w:t>Operative text of O.C.G.A. 20-2-149 (grades 6-12 content list) and whether districts must use the DOE model programs. Only the Legislative Counsel summary was read.</w:t>
            </w:r>
          </w:p>
        </w:tc>
        <w:tc>
          <w:tcPr>
            <w:tcW w:type="dxa" w:w="2207"/>
            <w:tcMar>
              <w:top w:w="50" w:type="dxa"/>
              <w:left w:w="90" w:type="dxa"/>
              <w:bottom w:w="60" w:type="dxa"/>
              <w:right w:w="90" w:type="dxa"/>
            </w:tcMar>
          </w:tcPr>
          <w:p>
            <w:pPr>
              <w:spacing w:before="0" w:after="0" w:line="252" w:lineRule="auto"/>
            </w:pPr>
            <w:r>
              <w:rPr>
                <w:rFonts w:ascii="Calibri" w:hAnsi="Calibri"/>
                <w:sz w:val="19"/>
              </w:rPr>
              <w:t>Georgia would be the closest Florida analog.</w:t>
            </w:r>
          </w:p>
        </w:tc>
        <w:tc>
          <w:tcPr>
            <w:tcW w:type="dxa" w:w="2759"/>
            <w:tcMar>
              <w:top w:w="50" w:type="dxa"/>
              <w:left w:w="90" w:type="dxa"/>
              <w:bottom w:w="60" w:type="dxa"/>
              <w:right w:w="90" w:type="dxa"/>
            </w:tcMar>
          </w:tcPr>
          <w:p>
            <w:pPr>
              <w:spacing w:before="0" w:after="0" w:line="252" w:lineRule="auto"/>
            </w:pPr>
            <w:r>
              <w:rPr>
                <w:rFonts w:ascii="Calibri" w:hAnsi="Calibri"/>
                <w:sz w:val="19"/>
              </w:rPr>
              <w:t>Read the enrolled SB 351 on legis.ga.gov and the GaDOE implementation page.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1444"/>
            <w:tcMar>
              <w:top w:w="50" w:type="dxa"/>
              <w:left w:w="90" w:type="dxa"/>
              <w:bottom w:w="60" w:type="dxa"/>
              <w:right w:w="90" w:type="dxa"/>
            </w:tcMar>
          </w:tcPr>
          <w:p>
            <w:pPr>
              <w:spacing w:before="0" w:after="0" w:line="252" w:lineRule="auto"/>
            </w:pPr>
            <w:r>
              <w:rPr>
                <w:rFonts w:ascii="Calibri" w:hAnsi="Calibri"/>
                <w:sz w:val="19"/>
              </w:rPr>
              <w:t>Louisiana</w:t>
            </w:r>
          </w:p>
        </w:tc>
        <w:tc>
          <w:tcPr>
            <w:tcW w:type="dxa" w:w="2942"/>
            <w:tcMar>
              <w:top w:w="50" w:type="dxa"/>
              <w:left w:w="90" w:type="dxa"/>
              <w:bottom w:w="60" w:type="dxa"/>
              <w:right w:w="90" w:type="dxa"/>
            </w:tcMar>
          </w:tcPr>
          <w:p>
            <w:pPr>
              <w:spacing w:before="0" w:after="0" w:line="252" w:lineRule="auto"/>
            </w:pPr>
            <w:r>
              <w:rPr>
                <w:rFonts w:ascii="Calibri" w:hAnsi="Calibri"/>
                <w:sz w:val="19"/>
              </w:rPr>
              <w:t>Whether BESE rules (for example Bulletin 741) now require internet and cell phone safety topics after Act 686 of 2024 repealed R.S. 17:280.</w:t>
            </w:r>
          </w:p>
        </w:tc>
        <w:tc>
          <w:tcPr>
            <w:tcW w:type="dxa" w:w="2207"/>
            <w:tcMar>
              <w:top w:w="50" w:type="dxa"/>
              <w:left w:w="90" w:type="dxa"/>
              <w:bottom w:w="60" w:type="dxa"/>
              <w:right w:w="90" w:type="dxa"/>
            </w:tcMar>
          </w:tcPr>
          <w:p>
            <w:pPr>
              <w:spacing w:before="0" w:after="0" w:line="252" w:lineRule="auto"/>
            </w:pPr>
            <w:r>
              <w:rPr>
                <w:rFonts w:ascii="Calibri" w:hAnsi="Calibri"/>
                <w:sz w:val="19"/>
              </w:rPr>
              <w:t>Older sources still describe a mandate.</w:t>
            </w:r>
          </w:p>
        </w:tc>
        <w:tc>
          <w:tcPr>
            <w:tcW w:type="dxa" w:w="2759"/>
            <w:tcMar>
              <w:top w:w="50" w:type="dxa"/>
              <w:left w:w="90" w:type="dxa"/>
              <w:bottom w:w="60" w:type="dxa"/>
              <w:right w:w="90" w:type="dxa"/>
            </w:tcMar>
          </w:tcPr>
          <w:p>
            <w:pPr>
              <w:spacing w:before="0" w:after="0" w:line="252" w:lineRule="auto"/>
            </w:pPr>
            <w:r>
              <w:rPr>
                <w:rFonts w:ascii="Calibri" w:hAnsi="Calibri"/>
                <w:sz w:val="19"/>
              </w:rPr>
              <w:t>Read BESE Bulletin 741 and any 17:6 rule actions.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1444"/>
            <w:tcMar>
              <w:top w:w="50" w:type="dxa"/>
              <w:left w:w="90" w:type="dxa"/>
              <w:bottom w:w="60" w:type="dxa"/>
              <w:right w:w="90" w:type="dxa"/>
            </w:tcMar>
          </w:tcPr>
          <w:p>
            <w:pPr>
              <w:spacing w:before="0" w:after="0" w:line="252" w:lineRule="auto"/>
            </w:pPr>
            <w:r>
              <w:rPr>
                <w:rFonts w:ascii="Calibri" w:hAnsi="Calibri"/>
                <w:sz w:val="19"/>
              </w:rPr>
              <w:t>Maryland</w:t>
            </w:r>
          </w:p>
        </w:tc>
        <w:tc>
          <w:tcPr>
            <w:tcW w:type="dxa" w:w="2942"/>
            <w:tcMar>
              <w:top w:w="50" w:type="dxa"/>
              <w:left w:w="90" w:type="dxa"/>
              <w:bottom w:w="60" w:type="dxa"/>
              <w:right w:w="90" w:type="dxa"/>
            </w:tcMar>
          </w:tcPr>
          <w:p>
            <w:pPr>
              <w:spacing w:before="0" w:after="0" w:line="252" w:lineRule="auto"/>
            </w:pPr>
            <w:r>
              <w:rPr>
                <w:rFonts w:ascii="Calibri" w:hAnsi="Calibri"/>
                <w:sz w:val="19"/>
              </w:rPr>
              <w:t>Whether any cyber safety guide or training course law was enacted after the 2021-2023 bills; bill pages showed early stalls only.</w:t>
            </w:r>
          </w:p>
        </w:tc>
        <w:tc>
          <w:tcPr>
            <w:tcW w:type="dxa" w:w="2207"/>
            <w:tcMar>
              <w:top w:w="50" w:type="dxa"/>
              <w:left w:w="90" w:type="dxa"/>
              <w:bottom w:w="60" w:type="dxa"/>
              <w:right w:w="90" w:type="dxa"/>
            </w:tcMar>
          </w:tcPr>
          <w:p>
            <w:pPr>
              <w:spacing w:before="0" w:after="0" w:line="252" w:lineRule="auto"/>
            </w:pPr>
            <w:r>
              <w:rPr>
                <w:rFonts w:ascii="Calibri" w:hAnsi="Calibri"/>
                <w:sz w:val="19"/>
              </w:rPr>
              <w:t>Could be a statewide required guide.</w:t>
            </w:r>
          </w:p>
        </w:tc>
        <w:tc>
          <w:tcPr>
            <w:tcW w:type="dxa" w:w="2759"/>
            <w:tcMar>
              <w:top w:w="50" w:type="dxa"/>
              <w:left w:w="90" w:type="dxa"/>
              <w:bottom w:w="60" w:type="dxa"/>
              <w:right w:w="90" w:type="dxa"/>
            </w:tcMar>
          </w:tcPr>
          <w:p>
            <w:pPr>
              <w:spacing w:before="0" w:after="0" w:line="252" w:lineRule="auto"/>
            </w:pPr>
            <w:r>
              <w:rPr>
                <w:rFonts w:ascii="Calibri" w:hAnsi="Calibri"/>
                <w:sz w:val="19"/>
              </w:rPr>
              <w:t>Search mgaleg.maryland.gov for the enacted Education Article section; check MSDE and the Center for School Safety.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1444"/>
            <w:tcMar>
              <w:top w:w="50" w:type="dxa"/>
              <w:left w:w="90" w:type="dxa"/>
              <w:bottom w:w="60" w:type="dxa"/>
              <w:right w:w="90" w:type="dxa"/>
            </w:tcMar>
          </w:tcPr>
          <w:p>
            <w:pPr>
              <w:spacing w:before="0" w:after="0" w:line="252" w:lineRule="auto"/>
            </w:pPr>
            <w:r>
              <w:rPr>
                <w:rFonts w:ascii="Calibri" w:hAnsi="Calibri"/>
                <w:sz w:val="19"/>
              </w:rPr>
              <w:t>Massachusetts</w:t>
            </w:r>
          </w:p>
        </w:tc>
        <w:tc>
          <w:tcPr>
            <w:tcW w:type="dxa" w:w="2942"/>
            <w:tcMar>
              <w:top w:w="50" w:type="dxa"/>
              <w:left w:w="90" w:type="dxa"/>
              <w:bottom w:w="60" w:type="dxa"/>
              <w:right w:w="90" w:type="dxa"/>
            </w:tcMar>
          </w:tcPr>
          <w:p>
            <w:pPr>
              <w:spacing w:before="0" w:after="0" w:line="252" w:lineRule="auto"/>
            </w:pPr>
            <w:r>
              <w:rPr>
                <w:rFonts w:ascii="Calibri" w:hAnsi="Calibri"/>
                <w:sz w:val="19"/>
              </w:rPr>
              <w:t>Whether the 2026 House and Senate bills (social media instruction guidance, school phone ban) became law.</w:t>
            </w:r>
          </w:p>
        </w:tc>
        <w:tc>
          <w:tcPr>
            <w:tcW w:type="dxa" w:w="2207"/>
            <w:tcMar>
              <w:top w:w="50" w:type="dxa"/>
              <w:left w:w="90" w:type="dxa"/>
              <w:bottom w:w="60" w:type="dxa"/>
              <w:right w:w="90" w:type="dxa"/>
            </w:tcMar>
          </w:tcPr>
          <w:p>
            <w:pPr>
              <w:spacing w:before="0" w:after="0" w:line="252" w:lineRule="auto"/>
            </w:pPr>
            <w:r>
              <w:rPr>
                <w:rFonts w:ascii="Calibri" w:hAnsi="Calibri"/>
                <w:sz w:val="19"/>
              </w:rPr>
              <w:t>Would add a student-education requirement.</w:t>
            </w:r>
          </w:p>
        </w:tc>
        <w:tc>
          <w:tcPr>
            <w:tcW w:type="dxa" w:w="2759"/>
            <w:tcMar>
              <w:top w:w="50" w:type="dxa"/>
              <w:left w:w="90" w:type="dxa"/>
              <w:bottom w:w="60" w:type="dxa"/>
              <w:right w:w="90" w:type="dxa"/>
            </w:tcMar>
          </w:tcPr>
          <w:p>
            <w:pPr>
              <w:spacing w:before="0" w:after="0" w:line="252" w:lineRule="auto"/>
            </w:pPr>
            <w:r>
              <w:rPr>
                <w:rFonts w:ascii="Calibri" w:hAnsi="Calibri"/>
                <w:sz w:val="19"/>
              </w:rPr>
              <w:t>malegislature.gov session laws 2026; DESE announcements.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1444"/>
            <w:tcMar>
              <w:top w:w="50" w:type="dxa"/>
              <w:left w:w="90" w:type="dxa"/>
              <w:bottom w:w="60" w:type="dxa"/>
              <w:right w:w="90" w:type="dxa"/>
            </w:tcMar>
          </w:tcPr>
          <w:p>
            <w:pPr>
              <w:spacing w:before="0" w:after="0" w:line="252" w:lineRule="auto"/>
            </w:pPr>
            <w:r>
              <w:rPr>
                <w:rFonts w:ascii="Calibri" w:hAnsi="Calibri"/>
                <w:sz w:val="19"/>
              </w:rPr>
              <w:t>Hawaii</w:t>
            </w:r>
          </w:p>
        </w:tc>
        <w:tc>
          <w:tcPr>
            <w:tcW w:type="dxa" w:w="2942"/>
            <w:tcMar>
              <w:top w:w="50" w:type="dxa"/>
              <w:left w:w="90" w:type="dxa"/>
              <w:bottom w:w="60" w:type="dxa"/>
              <w:right w:w="90" w:type="dxa"/>
            </w:tcMar>
          </w:tcPr>
          <w:p>
            <w:pPr>
              <w:spacing w:before="0" w:after="0" w:line="252" w:lineRule="auto"/>
            </w:pPr>
            <w:r>
              <w:rPr>
                <w:rFonts w:ascii="Calibri" w:hAnsi="Calibri"/>
                <w:sz w:val="19"/>
              </w:rPr>
              <w:t>Whether any social media instruction bill (grades 6-12) was enacted; the bills I could open were about cell phones.</w:t>
            </w:r>
          </w:p>
        </w:tc>
        <w:tc>
          <w:tcPr>
            <w:tcW w:type="dxa" w:w="2207"/>
            <w:tcMar>
              <w:top w:w="50" w:type="dxa"/>
              <w:left w:w="90" w:type="dxa"/>
              <w:bottom w:w="60" w:type="dxa"/>
              <w:right w:w="90" w:type="dxa"/>
            </w:tcMar>
          </w:tcPr>
          <w:p>
            <w:pPr>
              <w:spacing w:before="0" w:after="0" w:line="252" w:lineRule="auto"/>
            </w:pPr>
            <w:r>
              <w:rPr>
                <w:rFonts w:ascii="Calibri" w:hAnsi="Calibri"/>
                <w:sz w:val="19"/>
              </w:rPr>
              <w:t>Possible Florida-style mandate.</w:t>
            </w:r>
          </w:p>
        </w:tc>
        <w:tc>
          <w:tcPr>
            <w:tcW w:type="dxa" w:w="2759"/>
            <w:tcMar>
              <w:top w:w="50" w:type="dxa"/>
              <w:left w:w="90" w:type="dxa"/>
              <w:bottom w:w="60" w:type="dxa"/>
              <w:right w:w="90" w:type="dxa"/>
            </w:tcMar>
          </w:tcPr>
          <w:p>
            <w:pPr>
              <w:spacing w:before="0" w:after="0" w:line="252" w:lineRule="auto"/>
            </w:pPr>
            <w:r>
              <w:rPr>
                <w:rFonts w:ascii="Calibri" w:hAnsi="Calibri"/>
                <w:sz w:val="19"/>
              </w:rPr>
              <w:t>Hawaii Session Laws 2025 and 2026; HIDOE.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1444"/>
            <w:tcMar>
              <w:top w:w="50" w:type="dxa"/>
              <w:left w:w="90" w:type="dxa"/>
              <w:bottom w:w="60" w:type="dxa"/>
              <w:right w:w="90" w:type="dxa"/>
            </w:tcMar>
          </w:tcPr>
          <w:p>
            <w:pPr>
              <w:spacing w:before="0" w:after="0" w:line="252" w:lineRule="auto"/>
            </w:pPr>
            <w:r>
              <w:rPr>
                <w:rFonts w:ascii="Calibri" w:hAnsi="Calibri"/>
                <w:sz w:val="19"/>
              </w:rPr>
              <w:t>Arizona</w:t>
            </w:r>
          </w:p>
        </w:tc>
        <w:tc>
          <w:tcPr>
            <w:tcW w:type="dxa" w:w="2942"/>
            <w:tcMar>
              <w:top w:w="50" w:type="dxa"/>
              <w:left w:w="90" w:type="dxa"/>
              <w:bottom w:w="60" w:type="dxa"/>
              <w:right w:w="90" w:type="dxa"/>
            </w:tcMar>
          </w:tcPr>
          <w:p>
            <w:pPr>
              <w:spacing w:before="0" w:after="0" w:line="252" w:lineRule="auto"/>
            </w:pPr>
            <w:r>
              <w:rPr>
                <w:rFonts w:ascii="Calibri" w:hAnsi="Calibri"/>
                <w:sz w:val="19"/>
              </w:rPr>
              <w:t>Whether a 2026-session internet safety instruction bill passed (the 2025 HB 2029 was held in the Senate).</w:t>
            </w:r>
          </w:p>
        </w:tc>
        <w:tc>
          <w:tcPr>
            <w:tcW w:type="dxa" w:w="2207"/>
            <w:tcMar>
              <w:top w:w="50" w:type="dxa"/>
              <w:left w:w="90" w:type="dxa"/>
              <w:bottom w:w="60" w:type="dxa"/>
              <w:right w:w="90" w:type="dxa"/>
            </w:tcMar>
          </w:tcPr>
          <w:p>
            <w:pPr>
              <w:spacing w:before="0" w:after="0" w:line="252" w:lineRule="auto"/>
            </w:pPr>
            <w:r>
              <w:rPr>
                <w:rFonts w:ascii="Calibri" w:hAnsi="Calibri"/>
                <w:sz w:val="19"/>
              </w:rPr>
              <w:t>The 2025 text would have required grades 5-12 instruction.</w:t>
            </w:r>
          </w:p>
        </w:tc>
        <w:tc>
          <w:tcPr>
            <w:tcW w:type="dxa" w:w="2759"/>
            <w:tcMar>
              <w:top w:w="50" w:type="dxa"/>
              <w:left w:w="90" w:type="dxa"/>
              <w:bottom w:w="60" w:type="dxa"/>
              <w:right w:w="90" w:type="dxa"/>
            </w:tcMar>
          </w:tcPr>
          <w:p>
            <w:pPr>
              <w:spacing w:before="0" w:after="0" w:line="252" w:lineRule="auto"/>
            </w:pPr>
            <w:r>
              <w:rPr>
                <w:rFonts w:ascii="Calibri" w:hAnsi="Calibri"/>
                <w:sz w:val="19"/>
              </w:rPr>
              <w:t>azleg.gov 2026 session bill list.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1444"/>
            <w:tcMar>
              <w:top w:w="50" w:type="dxa"/>
              <w:left w:w="90" w:type="dxa"/>
              <w:bottom w:w="60" w:type="dxa"/>
              <w:right w:w="90" w:type="dxa"/>
            </w:tcMar>
          </w:tcPr>
          <w:p>
            <w:pPr>
              <w:spacing w:before="0" w:after="0" w:line="252" w:lineRule="auto"/>
            </w:pPr>
            <w:r>
              <w:rPr>
                <w:rFonts w:ascii="Calibri" w:hAnsi="Calibri"/>
                <w:sz w:val="19"/>
              </w:rPr>
              <w:t>Illinois</w:t>
            </w:r>
          </w:p>
        </w:tc>
        <w:tc>
          <w:tcPr>
            <w:tcW w:type="dxa" w:w="2942"/>
            <w:tcMar>
              <w:top w:w="50" w:type="dxa"/>
              <w:left w:w="90" w:type="dxa"/>
              <w:bottom w:w="60" w:type="dxa"/>
              <w:right w:w="90" w:type="dxa"/>
            </w:tcMar>
          </w:tcPr>
          <w:p>
            <w:pPr>
              <w:spacing w:before="0" w:after="0" w:line="252" w:lineRule="auto"/>
            </w:pPr>
            <w:r>
              <w:rPr>
                <w:rFonts w:ascii="Calibri" w:hAnsi="Calibri"/>
                <w:sz w:val="19"/>
              </w:rPr>
              <w:t>27-410 is shown "scheduled to be repealed on July 1, 2027" while 27-405 starts in 2027-28. I did not confirm the interaction or whether other Illinois sections were renumbered.</w:t>
            </w:r>
          </w:p>
        </w:tc>
        <w:tc>
          <w:tcPr>
            <w:tcW w:type="dxa" w:w="2207"/>
            <w:tcMar>
              <w:top w:w="50" w:type="dxa"/>
              <w:left w:w="90" w:type="dxa"/>
              <w:bottom w:w="60" w:type="dxa"/>
              <w:right w:w="90" w:type="dxa"/>
            </w:tcMar>
          </w:tcPr>
          <w:p>
            <w:pPr>
              <w:spacing w:before="0" w:after="0" w:line="252" w:lineRule="auto"/>
            </w:pPr>
            <w:r>
              <w:rPr>
                <w:rFonts w:ascii="Calibri" w:hAnsi="Calibri"/>
                <w:sz w:val="19"/>
              </w:rPr>
              <w:t>Which section controls after 2027.</w:t>
            </w:r>
          </w:p>
        </w:tc>
        <w:tc>
          <w:tcPr>
            <w:tcW w:type="dxa" w:w="2759"/>
            <w:tcMar>
              <w:top w:w="50" w:type="dxa"/>
              <w:left w:w="90" w:type="dxa"/>
              <w:bottom w:w="60" w:type="dxa"/>
              <w:right w:w="90" w:type="dxa"/>
            </w:tcMar>
          </w:tcPr>
          <w:p>
            <w:pPr>
              <w:spacing w:before="0" w:after="0" w:line="252" w:lineRule="auto"/>
            </w:pPr>
            <w:r>
              <w:rPr>
                <w:rFonts w:ascii="Calibri" w:hAnsi="Calibri"/>
                <w:sz w:val="19"/>
              </w:rPr>
              <w:t>Read the full text of P.A. 104-391.</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1444"/>
            <w:tcMar>
              <w:top w:w="50" w:type="dxa"/>
              <w:left w:w="90" w:type="dxa"/>
              <w:bottom w:w="60" w:type="dxa"/>
              <w:right w:w="90" w:type="dxa"/>
            </w:tcMar>
          </w:tcPr>
          <w:p>
            <w:pPr>
              <w:spacing w:before="0" w:after="0" w:line="252" w:lineRule="auto"/>
            </w:pPr>
            <w:r>
              <w:rPr>
                <w:rFonts w:ascii="Calibri" w:hAnsi="Calibri"/>
                <w:sz w:val="19"/>
              </w:rPr>
              <w:t>Indiana</w:t>
            </w:r>
          </w:p>
        </w:tc>
        <w:tc>
          <w:tcPr>
            <w:tcW w:type="dxa" w:w="2942"/>
            <w:tcMar>
              <w:top w:w="50" w:type="dxa"/>
              <w:left w:w="90" w:type="dxa"/>
              <w:bottom w:w="60" w:type="dxa"/>
              <w:right w:w="90" w:type="dxa"/>
            </w:tcMar>
          </w:tcPr>
          <w:p>
            <w:pPr>
              <w:spacing w:before="0" w:after="0" w:line="252" w:lineRule="auto"/>
            </w:pPr>
            <w:r>
              <w:rPr>
                <w:rFonts w:ascii="Calibri" w:hAnsi="Calibri"/>
                <w:sz w:val="19"/>
              </w:rPr>
              <w:t>Operative text of IC 20-30-6.1-4 (the site is script-rendered); I rely on IDOE's page and a secondary listing for "may".</w:t>
            </w:r>
          </w:p>
        </w:tc>
        <w:tc>
          <w:tcPr>
            <w:tcW w:type="dxa" w:w="2207"/>
            <w:tcMar>
              <w:top w:w="50" w:type="dxa"/>
              <w:left w:w="90" w:type="dxa"/>
              <w:bottom w:w="60" w:type="dxa"/>
              <w:right w:w="90" w:type="dxa"/>
            </w:tcMar>
          </w:tcPr>
          <w:p>
            <w:pPr>
              <w:spacing w:before="0" w:after="0" w:line="252" w:lineRule="auto"/>
            </w:pPr>
            <w:r>
              <w:rPr>
                <w:rFonts w:ascii="Calibri" w:hAnsi="Calibri"/>
                <w:sz w:val="19"/>
              </w:rPr>
              <w:t>Optional versus required.</w:t>
            </w:r>
          </w:p>
        </w:tc>
        <w:tc>
          <w:tcPr>
            <w:tcW w:type="dxa" w:w="2759"/>
            <w:tcMar>
              <w:top w:w="50" w:type="dxa"/>
              <w:left w:w="90" w:type="dxa"/>
              <w:bottom w:w="60" w:type="dxa"/>
              <w:right w:w="90" w:type="dxa"/>
            </w:tcMar>
          </w:tcPr>
          <w:p>
            <w:pPr>
              <w:spacing w:before="0" w:after="0" w:line="252" w:lineRule="auto"/>
            </w:pPr>
            <w:r>
              <w:rPr>
                <w:rFonts w:ascii="Calibri" w:hAnsi="Calibri"/>
                <w:sz w:val="19"/>
              </w:rPr>
              <w:t>Read the Indiana Code PDF or the 2025 Code book.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1444"/>
            <w:tcMar>
              <w:top w:w="50" w:type="dxa"/>
              <w:left w:w="90" w:type="dxa"/>
              <w:bottom w:w="60" w:type="dxa"/>
              <w:right w:w="90" w:type="dxa"/>
            </w:tcMar>
          </w:tcPr>
          <w:p>
            <w:pPr>
              <w:spacing w:before="0" w:after="0" w:line="252" w:lineRule="auto"/>
            </w:pPr>
            <w:r>
              <w:rPr>
                <w:rFonts w:ascii="Calibri" w:hAnsi="Calibri"/>
                <w:sz w:val="19"/>
              </w:rPr>
              <w:t>Delaware</w:t>
            </w:r>
          </w:p>
        </w:tc>
        <w:tc>
          <w:tcPr>
            <w:tcW w:type="dxa" w:w="2942"/>
            <w:tcMar>
              <w:top w:w="50" w:type="dxa"/>
              <w:left w:w="90" w:type="dxa"/>
              <w:bottom w:w="60" w:type="dxa"/>
              <w:right w:w="90" w:type="dxa"/>
            </w:tcMar>
          </w:tcPr>
          <w:p>
            <w:pPr>
              <w:spacing w:before="0" w:after="0" w:line="252" w:lineRule="auto"/>
            </w:pPr>
            <w:r>
              <w:rPr>
                <w:rFonts w:ascii="Calibri" w:hAnsi="Calibri"/>
                <w:sz w:val="19"/>
              </w:rPr>
              <w:t>The application note "see 83 Del. Laws, c. 417, section 2" attached to 14 Del. C. 4146, and what DOE requires of districts beyond adopting standards.</w:t>
            </w:r>
          </w:p>
        </w:tc>
        <w:tc>
          <w:tcPr>
            <w:tcW w:type="dxa" w:w="2207"/>
            <w:tcMar>
              <w:top w:w="50" w:type="dxa"/>
              <w:left w:w="90" w:type="dxa"/>
              <w:bottom w:w="60" w:type="dxa"/>
              <w:right w:w="90" w:type="dxa"/>
            </w:tcMar>
          </w:tcPr>
          <w:p>
            <w:pPr>
              <w:spacing w:before="0" w:after="0" w:line="252" w:lineRule="auto"/>
            </w:pPr>
            <w:r>
              <w:rPr>
                <w:rFonts w:ascii="Calibri" w:hAnsi="Calibri"/>
                <w:sz w:val="19"/>
              </w:rPr>
              <w:t>Standards-level versus district duty.</w:t>
            </w:r>
          </w:p>
        </w:tc>
        <w:tc>
          <w:tcPr>
            <w:tcW w:type="dxa" w:w="2759"/>
            <w:tcMar>
              <w:top w:w="50" w:type="dxa"/>
              <w:left w:w="90" w:type="dxa"/>
              <w:bottom w:w="60" w:type="dxa"/>
              <w:right w:w="90" w:type="dxa"/>
            </w:tcMar>
          </w:tcPr>
          <w:p>
            <w:pPr>
              <w:spacing w:before="0" w:after="0" w:line="252" w:lineRule="auto"/>
            </w:pPr>
            <w:r>
              <w:rPr>
                <w:rFonts w:ascii="Calibri" w:hAnsi="Calibri"/>
                <w:sz w:val="19"/>
              </w:rPr>
              <w:t>Read the session law and DOE regulations.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Abuse-prevention (Erin's Law-type) status not read</w:t>
      </w:r>
    </w:p>
    <w:p>
      <w:r>
        <w:rPr/>
        <w:t xml:space="preserve">I confirmed text for Alabama (16-40-9), Alaska (14.30.355), Missouri (170.045), Maine (optional model policy), Michigan (optional), Minnesota (optional) and California (permissive). </w:t>
      </w:r>
      <w:r>
        <w:rPr>
          <w:b/>
        </w:rPr>
        <w:t>Not read:</w:t>
      </w:r>
      <w:r>
        <w:rPr/>
        <w:t xml:space="preserve"> Arizona, Arkansas, Colorado (read as "encouraged" only), Connecticut, Delaware, D.C., Georgia, Hawaii, Idaho, Illinois (27-9.1a only via a search summary), Indiana, Iowa, Kansas, Kentucky, Louisiana (the 2024 repeal list included "child assault"), Maryland, Massachusetts, Mississippi, Montana. Treat all as unknown. Human trafficking and dating violence instruction mandates were not systematically searched.</w:t>
      </w:r>
    </w:p>
    <w:p>
      <w:pPr>
        <w:pStyle w:val="Heading2"/>
        <w:pBdr>
          <w:top w:val="single" w:sz="18" w:space="6" w:color="FF8A3D"/>
        </w:pBdr>
        <w:spacing w:before="320"/>
      </w:pPr>
      <w:r>
        <w:rPr>
          <w:rFonts w:ascii="Courier New" w:hAnsi="Courier New"/>
          <w:b w:val="0"/>
          <w:color w:val="A8400A"/>
          <w:sz w:val="20"/>
        </w:rPr>
        <w:t xml:space="preserve">03  </w:t>
      </w:r>
      <w:r>
        <w:rPr/>
        <w:t>Standards, reporting, privacy</w:t>
      </w:r>
    </w:p>
    <w:p>
      <w:pPr>
        <w:pStyle w:val="ListBullet"/>
      </w:pPr>
      <w:r>
        <w:rPr>
          <w:b/>
        </w:rPr>
        <w:t>Standards.</w:t>
      </w:r>
      <w:r>
        <w:rPr/>
        <w:t xml:space="preserve"> Only Massachusetts DLCS (6-8.CAS.a and related) and D.C. Health (6-8.1.4.13; 9-12.3.8.27) were read for benchmark codes. For all other states the standards documents are named from background knowledge and are [VERIFY]; I did not read any other state's computer science, digital literacy or health standards. The 9-12 Massachusetts strands and the Delaware Media Literacy Content Standards, the Connecticut guidelines PDF and the Arizona Ed Tech Standards were not read.</w:t>
      </w:r>
    </w:p>
    <w:p>
      <w:pPr>
        <w:pStyle w:val="ListBullet"/>
      </w:pPr>
      <w:r>
        <w:rPr>
          <w:b/>
        </w:rPr>
        <w:t>Mandated reporting.</w:t>
      </w:r>
      <w:r>
        <w:rPr/>
        <w:t xml:space="preserve"> I recorded agency names only. I did not read any state's reporting statute or deadlines, except that Alabama 26-14-3 and Michigan MCL 722.623 are cited in documents I read.</w:t>
      </w:r>
    </w:p>
    <w:p>
      <w:pPr>
        <w:pStyle w:val="ListBullet"/>
      </w:pPr>
      <w:r>
        <w:rPr>
          <w:b/>
        </w:rPr>
        <w:t>Student data privacy.</w:t>
      </w:r>
      <w:r>
        <w:rPr/>
        <w:t xml:space="preserve"> Cites other than D.C. Law 21-218 were not read; several states were not researched at all (Alabama, Alaska, Hawaii, Indiana, Iowa, Massachusetts, Mississippi, Missouri).</w:t>
      </w:r>
    </w:p>
    <w:p>
      <w:pPr>
        <w:pStyle w:val="ListBullet"/>
      </w:pPr>
      <w:r>
        <w:rPr>
          <w:b/>
        </w:rPr>
        <w:t>Adoption processes.</w:t>
      </w:r>
      <w:r>
        <w:rPr/>
        <w:t xml:space="preserve"> No state-approved-materials list for this topic was confirmed in any of the 26 jurisdictions. The only confirmed state publishing routes are: Colorado CDE resource bank (22-2-127.8), Illinois State Board resources and Attorney General review (27-410), Indiana IDOE collection, Missouri DESE guidance (170.045), California CDE 51950 resources (due July 1, 2026, not read), and Mississippi MDE curriculum (to be published). Kentucky 156.445 (state-approved instructional material) appeared in a listing and its scope is unknown.</w:t>
      </w:r>
    </w:p>
    <w:p>
      <w:pPr>
        <w:pStyle w:val="Heading2"/>
        <w:pBdr>
          <w:top w:val="single" w:sz="18" w:space="6" w:color="FF8A3D"/>
        </w:pBdr>
        <w:spacing w:before="320"/>
      </w:pPr>
      <w:r>
        <w:rPr>
          <w:rFonts w:ascii="Courier New" w:hAnsi="Courier New"/>
          <w:b w:val="0"/>
          <w:color w:val="A8400A"/>
          <w:sz w:val="20"/>
        </w:rPr>
        <w:t xml:space="preserve">04  </w:t>
      </w:r>
      <w:r>
        <w:rPr/>
        <w:t>Source reliability issues</w:t>
      </w:r>
    </w:p>
    <w:p>
      <w:pPr>
        <w:pStyle w:val="ListBullet"/>
      </w:pPr>
      <w:r>
        <w:rPr/>
        <w:t>The Arkansas result is Low confidence: I could only read a Public.Resource.Org copy of Title 6, which may be out of date.</w:t>
      </w:r>
    </w:p>
    <w:p>
      <w:pPr>
        <w:pStyle w:val="ListBullet"/>
      </w:pPr>
      <w:r>
        <w:rPr/>
        <w:t>Several state agency pages (Alaska DEED, Iowa, Indiana legislature, ILGA text pages, Justia) blocked or failed with the summary tool; I worked around them by direct fetch where possible. Alaska DEED's Safe Children's Act page and the Indiana Code could not be read from their own sites.</w:t>
      </w:r>
    </w:p>
    <w:p>
      <w:pPr>
        <w:pStyle w:val="ListBullet"/>
      </w:pPr>
      <w:r>
        <w:rPr/>
        <w:t>Search summaries sometimes conflicted with primary text (Arizona HB 2029 looked enacted; Louisiana 17:280 looked current; Iowa social media instruction looked enacted). In each case the primary text or status data I read said otherwise, so I relied on that. Expect the same risk for any state marked [VERIFY].</w:t>
      </w:r>
    </w:p>
    <w:p>
      <w:pPr>
        <w:pStyle w:val="ListBullet"/>
      </w:pPr>
      <w:r>
        <w:rPr/>
        <w:t>Laws moved quickly in 2025 and 2026 (device policies, social media curricula). A re-check before any public use is needed.</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STATE ALIGNMENT ATLAS · UNKNOWNS (PART 1, A TO M)</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State Alignment Atlas · Unknowns (Part 1, A to M)</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