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276649" cy="457200"/>
            <wp:docPr id="1" name="Picture 1" descr="Hackles logo"/>
            <wp:cNvGraphicFramePr>
              <a:graphicFrameLocks noChangeAspect="1"/>
            </wp:cNvGraphicFramePr>
            <a:graphic>
              <a:graphicData uri="http://schemas.openxmlformats.org/drawingml/2006/picture">
                <pic:pic>
                  <pic:nvPicPr>
                    <pic:cNvPr id="0" name="Hackles_logo_horizontal.png"/>
                    <pic:cNvPicPr/>
                  </pic:nvPicPr>
                  <pic:blipFill>
                    <a:blip r:embed="rId12"/>
                    <a:stretch>
                      <a:fillRect/>
                    </a:stretch>
                  </pic:blipFill>
                  <pic:spPr>
                    <a:xfrm>
                      <a:off x="0" y="0"/>
                      <a:ext cx="1276649" cy="457200"/>
                    </a:xfrm>
                    <a:prstGeom prst="rect"/>
                  </pic:spPr>
                </pic:pic>
              </a:graphicData>
            </a:graphic>
          </wp:inline>
        </w:drawing>
      </w:r>
    </w:p>
    <w:p>
      <w:pPr>
        <w:pBdr>
          <w:bottom w:val="double" w:sz="6" w:space="4" w:color="2B2D42"/>
        </w:pBdr>
        <w:spacing w:before="0" w:after="120"/>
      </w:pPr>
    </w:p>
    <w:p>
      <w:pPr>
        <w:spacing w:before="120" w:after="40" w:line="240" w:lineRule="auto"/>
      </w:pPr>
      <w:r>
        <w:rPr>
          <w:rFonts w:ascii="Georgia" w:hAnsi="Georgia"/>
          <w:b/>
          <w:color w:val="2B2D42"/>
          <w:sz w:val="56"/>
        </w:rPr>
        <w:t>RA and Peer Educator Quick Guide</w:t>
      </w:r>
    </w:p>
    <w:p>
      <w:pPr>
        <w:spacing w:before="0" w:after="40"/>
      </w:pPr>
      <w:r>
        <w:rPr>
          <w:rFonts w:ascii="Georgia" w:hAnsi="Georgia"/>
          <w:b/>
          <w:i/>
          <w:color w:val="2F6F73"/>
          <w:sz w:val="26"/>
        </w:rPr>
        <w:t>The Hackles Kit</w:t>
      </w:r>
    </w:p>
    <w:p>
      <w:pPr>
        <w:spacing w:before="0" w:after="240"/>
      </w:pPr>
      <w:r>
        <w:rPr>
          <w:rFonts w:ascii="Calibri" w:hAnsi="Calibri"/>
          <w:color w:val="5A5C70"/>
          <w:sz w:val="17"/>
        </w:rPr>
        <w:t>A free kit by Competence Collective · competencecollective.org · quillsup.org · October 2026</w:t>
      </w:r>
    </w:p>
    <w:p>
      <w:r>
        <w:rPr>
          <w:i/>
        </w:rPr>
        <w:t>(c)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t>For resident assistants, orientation leaders, peer mentors and student-success coaches who run a floor meeting, table at an event or get asked for help. Two pages. Read it once, keep it on your phone.</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Know your status before you start.</w:t>
            </w:r>
            <w:r>
              <w:rPr>
                <w:sz w:val="19"/>
              </w:rPr>
              <w:t xml:space="preserve"> At many colleges RAs and student staff are responsible employees who must pass certain disclosures to the Title IX office. Others are not. Ask your supervisor which you are, and write it here: ______. [COUNSEL TO CONFIRM; VERIFY current federal rules and your college's policy]</w:t>
            </w:r>
          </w:p>
        </w:tc>
      </w:tr>
    </w:tbl>
    <w:p>
      <w:pPr>
        <w:spacing w:before="0" w:after="0" w:line="160" w:lineRule="exact"/>
      </w:pPr>
      <w:r>
        <w:rPr>
          <w:sz w:val="2"/>
        </w:rPr>
      </w:r>
    </w:p>
    <w:p>
      <w:pPr>
        <w:pBdr>
          <w:bottom w:val="single" w:sz="6" w:space="1" w:color="8C8672"/>
        </w:pBdr>
        <w:spacing w:before="40" w:after="120"/>
      </w:pPr>
    </w:p>
    <w:p>
      <w:pPr>
        <w:pStyle w:val="Heading2"/>
        <w:pBdr>
          <w:top w:val="single" w:sz="18" w:space="6" w:color="FF8A3D"/>
        </w:pBdr>
        <w:spacing w:before="320"/>
      </w:pPr>
      <w:r>
        <w:rPr/>
        <w:t>What you are, and are not</w:t>
      </w:r>
    </w:p>
    <w:p>
      <w:r>
        <w:rPr/>
        <w:t>You are a friendly, trained peer who knows where help is. You are not a counselor, investigator, lawyer or police officer. Your best moves are to listen, give accurate information, and walk someone to the right office.</w:t>
      </w:r>
    </w:p>
    <w:p>
      <w:pPr>
        <w:pStyle w:val="Heading2"/>
        <w:pBdr>
          <w:top w:val="single" w:sz="18" w:space="6" w:color="FF8A3D"/>
        </w:pBdr>
        <w:spacing w:before="320"/>
      </w:pPr>
      <w:r>
        <w:rPr/>
        <w:t>The routine in one line</w:t>
      </w:r>
    </w:p>
    <w:p>
      <w:r>
        <w:rPr/>
        <w:t>Hackles up? Pause. Check. Tell. Notice what is off, wait a few minutes, confirm through a door you opened, and bring in a person.</w:t>
      </w:r>
    </w:p>
    <w:p>
      <w:pPr>
        <w:pStyle w:val="Heading2"/>
        <w:pBdr>
          <w:top w:val="single" w:sz="18" w:space="6" w:color="FF8A3D"/>
        </w:pBdr>
        <w:spacing w:before="320"/>
      </w:pPr>
      <w:r>
        <w:rPr/>
        <w:t>Running a 30-minute floor meeting</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35"/>
        <w:gridCol w:w="8757"/>
      </w:tblGrid>
      <w:tr>
        <w:trPr>
          <w:tblHeader/>
          <w:cantSplit/>
        </w:trPr>
        <w:tc>
          <w:tcPr>
            <w:tcW w:type="dxa" w:w="103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75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r>
      <w:tr>
        <w:trPr>
          <w:cantSplit/>
        </w:trPr>
        <w:tc>
          <w:tcPr>
            <w:tcW w:type="dxa" w:w="1035"/>
            <w:tcMar>
              <w:top w:w="50" w:type="dxa"/>
              <w:left w:w="0" w:type="dxa"/>
              <w:bottom w:w="60" w:type="dxa"/>
              <w:right w:w="90" w:type="dxa"/>
            </w:tcMar>
          </w:tcPr>
          <w:p>
            <w:pPr>
              <w:spacing w:before="0" w:after="0" w:line="252" w:lineRule="auto"/>
            </w:pPr>
            <w:r>
              <w:rPr>
                <w:rFonts w:ascii="Calibri" w:hAnsi="Calibri"/>
                <w:sz w:val="19"/>
              </w:rPr>
              <w:t>0 to 3</w:t>
            </w:r>
          </w:p>
        </w:tc>
        <w:tc>
          <w:tcPr>
            <w:tcW w:type="dxa" w:w="8757"/>
            <w:tcMar>
              <w:top w:w="50" w:type="dxa"/>
              <w:left w:w="90" w:type="dxa"/>
              <w:bottom w:w="60" w:type="dxa"/>
              <w:right w:w="90" w:type="dxa"/>
            </w:tcMar>
          </w:tcPr>
          <w:p>
            <w:pPr>
              <w:spacing w:before="0" w:after="0" w:line="252" w:lineRule="auto"/>
            </w:pPr>
            <w:r>
              <w:rPr>
                <w:rFonts w:ascii="Calibri" w:hAnsi="Calibri"/>
                <w:sz w:val="19"/>
              </w:rPr>
              <w:t>Welcome. Say the heads-up: "I am happy to listen. If you tell me something personal, here is what I may have to share."</w:t>
            </w:r>
          </w:p>
        </w:tc>
      </w:tr>
      <w:tr>
        <w:trPr>
          <w:cantSplit/>
        </w:trPr>
        <w:tc>
          <w:tcPr>
            <w:tcW w:type="dxa" w:w="1035"/>
            <w:tcMar>
              <w:top w:w="50" w:type="dxa"/>
              <w:left w:w="0" w:type="dxa"/>
              <w:bottom w:w="60" w:type="dxa"/>
              <w:right w:w="90" w:type="dxa"/>
            </w:tcMar>
          </w:tcPr>
          <w:p>
            <w:pPr>
              <w:spacing w:before="0" w:after="0" w:line="252" w:lineRule="auto"/>
            </w:pPr>
            <w:r>
              <w:rPr>
                <w:rFonts w:ascii="Calibri" w:hAnsi="Calibri"/>
                <w:sz w:val="19"/>
              </w:rPr>
              <w:t>3 to 8</w:t>
            </w:r>
          </w:p>
        </w:tc>
        <w:tc>
          <w:tcPr>
            <w:tcW w:type="dxa" w:w="8757"/>
            <w:tcMar>
              <w:top w:w="50" w:type="dxa"/>
              <w:left w:w="90" w:type="dxa"/>
              <w:bottom w:w="60" w:type="dxa"/>
              <w:right w:w="90" w:type="dxa"/>
            </w:tcMar>
          </w:tcPr>
          <w:p>
            <w:pPr>
              <w:spacing w:before="0" w:after="0" w:line="252" w:lineRule="auto"/>
            </w:pPr>
            <w:r>
              <w:rPr>
                <w:rFonts w:ascii="Calibri" w:hAnsi="Calibri"/>
                <w:sz w:val="19"/>
              </w:rPr>
              <w:t>One short story from the cards (Session 1 or Session 4). Read the card aloud. Nobody plays the sender.</w:t>
            </w:r>
          </w:p>
        </w:tc>
      </w:tr>
      <w:tr>
        <w:trPr>
          <w:cantSplit/>
        </w:trPr>
        <w:tc>
          <w:tcPr>
            <w:tcW w:type="dxa" w:w="1035"/>
            <w:tcMar>
              <w:top w:w="50" w:type="dxa"/>
              <w:left w:w="0" w:type="dxa"/>
              <w:bottom w:w="60" w:type="dxa"/>
              <w:right w:w="90" w:type="dxa"/>
            </w:tcMar>
          </w:tcPr>
          <w:p>
            <w:pPr>
              <w:spacing w:before="0" w:after="0" w:line="252" w:lineRule="auto"/>
            </w:pPr>
            <w:r>
              <w:rPr>
                <w:rFonts w:ascii="Calibri" w:hAnsi="Calibri"/>
                <w:sz w:val="19"/>
              </w:rPr>
              <w:t>8 to 20</w:t>
            </w:r>
          </w:p>
        </w:tc>
        <w:tc>
          <w:tcPr>
            <w:tcW w:type="dxa" w:w="8757"/>
            <w:tcMar>
              <w:top w:w="50" w:type="dxa"/>
              <w:left w:w="90" w:type="dxa"/>
              <w:bottom w:w="60" w:type="dxa"/>
              <w:right w:w="90" w:type="dxa"/>
            </w:tcMar>
          </w:tcPr>
          <w:p>
            <w:pPr>
              <w:spacing w:before="0" w:after="0" w:line="252" w:lineRule="auto"/>
            </w:pPr>
            <w:r>
              <w:rPr>
                <w:rFonts w:ascii="Calibri" w:hAnsi="Calibri"/>
                <w:sz w:val="19"/>
              </w:rPr>
              <w:t>Small groups: What raised our hackles? What would we check? Who would we tell?</w:t>
            </w:r>
          </w:p>
        </w:tc>
      </w:tr>
      <w:tr>
        <w:trPr>
          <w:cantSplit/>
        </w:trPr>
        <w:tc>
          <w:tcPr>
            <w:tcW w:type="dxa" w:w="1035"/>
            <w:tcMar>
              <w:top w:w="50" w:type="dxa"/>
              <w:left w:w="0" w:type="dxa"/>
              <w:bottom w:w="60" w:type="dxa"/>
              <w:right w:w="90" w:type="dxa"/>
            </w:tcMar>
          </w:tcPr>
          <w:p>
            <w:pPr>
              <w:spacing w:before="0" w:after="0" w:line="252" w:lineRule="auto"/>
            </w:pPr>
            <w:r>
              <w:rPr>
                <w:rFonts w:ascii="Calibri" w:hAnsi="Calibri"/>
                <w:sz w:val="19"/>
              </w:rPr>
              <w:t>20 to 27</w:t>
            </w:r>
          </w:p>
        </w:tc>
        <w:tc>
          <w:tcPr>
            <w:tcW w:type="dxa" w:w="8757"/>
            <w:tcMar>
              <w:top w:w="50" w:type="dxa"/>
              <w:left w:w="90" w:type="dxa"/>
              <w:bottom w:w="60" w:type="dxa"/>
              <w:right w:w="90" w:type="dxa"/>
            </w:tcMar>
          </w:tcPr>
          <w:p>
            <w:pPr>
              <w:spacing w:before="0" w:after="0" w:line="252" w:lineRule="auto"/>
            </w:pPr>
            <w:r>
              <w:rPr>
                <w:rFonts w:ascii="Calibri" w:hAnsi="Calibri"/>
                <w:sz w:val="19"/>
              </w:rPr>
              <w:t>Share out. Add the first-hour list: bank, passwords starting with email, keep messages, tell someone, report.</w:t>
            </w:r>
          </w:p>
        </w:tc>
      </w:tr>
      <w:tr>
        <w:trPr>
          <w:cantSplit/>
        </w:trPr>
        <w:tc>
          <w:tcPr>
            <w:tcW w:type="dxa" w:w="1035"/>
            <w:tcMar>
              <w:top w:w="50" w:type="dxa"/>
              <w:left w:w="0" w:type="dxa"/>
              <w:bottom w:w="60" w:type="dxa"/>
              <w:right w:w="90" w:type="dxa"/>
            </w:tcMar>
          </w:tcPr>
          <w:p>
            <w:pPr>
              <w:spacing w:before="0" w:after="0" w:line="252" w:lineRule="auto"/>
            </w:pPr>
            <w:r>
              <w:rPr>
                <w:rFonts w:ascii="Calibri" w:hAnsi="Calibri"/>
                <w:sz w:val="19"/>
              </w:rPr>
              <w:t>27 to 30</w:t>
            </w:r>
          </w:p>
        </w:tc>
        <w:tc>
          <w:tcPr>
            <w:tcW w:type="dxa" w:w="8757"/>
            <w:tcMar>
              <w:top w:w="50" w:type="dxa"/>
              <w:left w:w="90" w:type="dxa"/>
              <w:bottom w:w="60" w:type="dxa"/>
              <w:right w:w="90" w:type="dxa"/>
            </w:tcMar>
          </w:tcPr>
          <w:p>
            <w:pPr>
              <w:spacing w:before="0" w:after="0" w:line="252" w:lineRule="auto"/>
            </w:pPr>
            <w:r>
              <w:rPr>
                <w:rFonts w:ascii="Calibri" w:hAnsi="Calibri"/>
                <w:sz w:val="19"/>
              </w:rPr>
              <w:t>Hand out the Campus Safety Card. Point to one office.</w:t>
            </w:r>
          </w:p>
        </w:tc>
      </w:tr>
    </w:tbl>
    <w:p>
      <w:pPr>
        <w:spacing w:before="0" w:after="0" w:line="160" w:lineRule="exact"/>
      </w:pPr>
      <w:r>
        <w:rPr>
          <w:sz w:val="2"/>
        </w:rPr>
      </w:r>
    </w:p>
    <w:p>
      <w:r>
        <w:rPr/>
        <w:t>Good card choices for floor meetings: 1A (job offer), 1B (apartment), 1C (bursar text), 2B (code and caller), 4A (voice message).</w:t>
      </w:r>
    </w:p>
    <w:p>
      <w:pPr>
        <w:pStyle w:val="Heading2"/>
        <w:pBdr>
          <w:top w:val="single" w:sz="18" w:space="6" w:color="FF8A3D"/>
        </w:pBdr>
        <w:spacing w:before="320"/>
      </w:pPr>
      <w:r>
        <w:rPr/>
        <w:t>Things you can do</w:t>
      </w:r>
    </w:p>
    <w:p>
      <w:pPr>
        <w:pStyle w:val="ListBullet"/>
      </w:pPr>
      <w:r>
        <w:rPr/>
        <w:t>Share the Campus Safety Card and the first-hour list.</w:t>
      </w:r>
    </w:p>
    <w:p>
      <w:pPr>
        <w:pStyle w:val="ListBullet"/>
      </w:pPr>
      <w:r>
        <w:rPr/>
        <w:t>Walk a resident to [IT HELP DESK], [FINANCIAL AID OFFICE], [COUNSELING CENTER] or [CAMPUS POLICE].</w:t>
      </w:r>
    </w:p>
    <w:p>
      <w:pPr>
        <w:pStyle w:val="ListBullet"/>
      </w:pPr>
      <w:r>
        <w:rPr/>
        <w:t>Sit with a resident while they call their bank or the platform.</w:t>
      </w:r>
    </w:p>
    <w:p>
      <w:pPr>
        <w:pStyle w:val="ListBullet"/>
      </w:pPr>
      <w:r>
        <w:rPr/>
        <w:t>Check in after a week.</w:t>
      </w:r>
    </w:p>
    <w:p>
      <w:pPr>
        <w:pStyle w:val="ListBullet"/>
      </w:pPr>
      <w:r>
        <w:rPr/>
        <w:t>Say "I do not know. Let's find out together."</w:t>
      </w:r>
    </w:p>
    <w:p>
      <w:pPr>
        <w:pStyle w:val="Heading2"/>
        <w:pBdr>
          <w:top w:val="single" w:sz="18" w:space="6" w:color="FF8A3D"/>
        </w:pBdr>
        <w:spacing w:before="320"/>
      </w:pPr>
      <w:r>
        <w:rPr/>
        <w:t>Things you should not do</w:t>
      </w:r>
    </w:p>
    <w:p>
      <w:pPr>
        <w:pStyle w:val="ListBullet"/>
      </w:pPr>
      <w:r>
        <w:rPr/>
        <w:t>Do not look at someone's phone, messages or images.</w:t>
      </w:r>
    </w:p>
    <w:p>
      <w:pPr>
        <w:pStyle w:val="ListBullet"/>
      </w:pPr>
      <w:r>
        <w:rPr/>
        <w:t>Do not ask to see an image. Never copy, forward or screenshot an image of a person under 18.</w:t>
      </w:r>
    </w:p>
    <w:p>
      <w:pPr>
        <w:pStyle w:val="ListBullet"/>
      </w:pPr>
      <w:r>
        <w:rPr/>
        <w:t>Do not contact the person who is harassing or threatening a resident.</w:t>
      </w:r>
    </w:p>
    <w:p>
      <w:pPr>
        <w:pStyle w:val="ListBullet"/>
      </w:pPr>
      <w:r>
        <w:rPr/>
        <w:t>Do not promise secrecy or outcomes.</w:t>
      </w:r>
    </w:p>
    <w:p>
      <w:pPr>
        <w:pStyle w:val="ListBullet"/>
      </w:pPr>
      <w:r>
        <w:rPr/>
        <w:t>Do not run "mock hacking" or tracking demos. This module teaches defence only.</w:t>
      </w:r>
    </w:p>
    <w:p>
      <w:pPr>
        <w:pStyle w:val="ListBullet"/>
      </w:pPr>
      <w:r>
        <w:rPr/>
        <w:t>Do not give legal, medical or immigration advice.</w:t>
      </w:r>
    </w:p>
    <w:p>
      <w:pPr>
        <w:pStyle w:val="ListBullet"/>
      </w:pPr>
      <w:r>
        <w:rPr/>
        <w:t>Do not post about a resident's situation, even without a name.</w:t>
      </w:r>
    </w:p>
    <w:p>
      <w:pPr>
        <w:pStyle w:val="Heading2"/>
        <w:pBdr>
          <w:top w:val="single" w:sz="18" w:space="6" w:color="FF8A3D"/>
        </w:pBdr>
        <w:spacing w:before="320"/>
      </w:pPr>
      <w:r>
        <w:rPr/>
        <w:t>If a resident tells you something serious</w:t>
      </w:r>
    </w:p>
    <w:p>
      <w:pPr>
        <w:spacing w:before="0" w:after="60"/>
        <w:ind w:left="504" w:hanging="360"/>
      </w:pPr>
      <w:r>
        <w:rPr>
          <w:b/>
          <w:color w:val="2F6F73"/>
        </w:rPr>
        <w:t xml:space="preserve">1. </w:t>
      </w:r>
      <w:r>
        <w:rPr>
          <w:b/>
        </w:rPr>
        <w:t>Heads-up first.</w:t>
      </w:r>
      <w:r>
        <w:rPr/>
        <w:t xml:space="preserve"> "Thank you. Before you go on, I want to tell you what I can and cannot keep private. [I may have to share this with the Title IX office.] If you would like a confidential person, I can walk you to [COUNSELING CENTER]."</w:t>
      </w:r>
    </w:p>
    <w:p>
      <w:pPr>
        <w:spacing w:before="0" w:after="60"/>
        <w:ind w:left="504" w:hanging="360"/>
      </w:pPr>
      <w:r>
        <w:rPr>
          <w:b/>
          <w:color w:val="2F6F73"/>
        </w:rPr>
        <w:t xml:space="preserve">2. </w:t>
      </w:r>
      <w:r>
        <w:rPr>
          <w:b/>
        </w:rPr>
        <w:t>Listen and believe.</w:t>
      </w:r>
      <w:r>
        <w:rPr/>
        <w:t xml:space="preserve"> "Thank you for telling me. This is not your fault."</w:t>
      </w:r>
    </w:p>
    <w:p>
      <w:pPr>
        <w:spacing w:before="0" w:after="60"/>
        <w:ind w:left="504" w:hanging="360"/>
      </w:pPr>
      <w:r>
        <w:rPr>
          <w:b/>
          <w:color w:val="2F6F73"/>
        </w:rPr>
        <w:t xml:space="preserve">3. </w:t>
      </w:r>
      <w:r>
        <w:rPr>
          <w:b/>
        </w:rPr>
        <w:t>Ask what they need.</w:t>
      </w:r>
      <w:r>
        <w:rPr/>
        <w:t xml:space="preserve"> "Are you safe right now? What would help most today?"</w:t>
      </w:r>
    </w:p>
    <w:p>
      <w:pPr>
        <w:spacing w:before="0" w:after="60"/>
        <w:ind w:left="504" w:hanging="360"/>
      </w:pPr>
      <w:r>
        <w:rPr>
          <w:b/>
          <w:color w:val="2F6F73"/>
        </w:rPr>
        <w:t xml:space="preserve">4. </w:t>
      </w:r>
      <w:r>
        <w:rPr>
          <w:b/>
        </w:rPr>
        <w:t>Offer choices.</w:t>
      </w:r>
      <w:r>
        <w:rPr/>
        <w:t xml:space="preserve"> Counseling, an advocate, the Title IX office, campus police, a platform report, or nothing today.</w:t>
      </w:r>
    </w:p>
    <w:p>
      <w:pPr>
        <w:spacing w:before="0" w:after="60"/>
        <w:ind w:left="504" w:hanging="360"/>
      </w:pPr>
      <w:r>
        <w:rPr>
          <w:b/>
          <w:color w:val="2F6F73"/>
        </w:rPr>
        <w:t xml:space="preserve">5. </w:t>
      </w:r>
      <w:r>
        <w:rPr>
          <w:b/>
        </w:rPr>
        <w:t>Safety.</w:t>
      </w:r>
      <w:r>
        <w:rPr/>
        <w:t xml:space="preserve"> Danger now: 911 or [CAMPUS POLICE]. Thoughts of suicide: stay, ask directly, 988 (call or text 988), Crisis Text Line (text HOME to 741741), [COUNSELING CENTER].</w:t>
      </w:r>
    </w:p>
    <w:p>
      <w:pPr>
        <w:spacing w:before="0" w:after="60"/>
        <w:ind w:left="504" w:hanging="360"/>
      </w:pPr>
      <w:r>
        <w:rPr>
          <w:b/>
          <w:color w:val="2F6F73"/>
        </w:rPr>
        <w:t xml:space="preserve">6. </w:t>
      </w:r>
      <w:r>
        <w:rPr>
          <w:b/>
        </w:rPr>
        <w:t>Hand off, and report as your duty requires</w:t>
      </w:r>
      <w:r>
        <w:rPr/>
        <w:t xml:space="preserve"> (for example, to [TITLE IX OFFICE] or [RESIDENCE LIFE SUPERVISOR]). Tell the resident what you are doing before you do it.</w:t>
      </w:r>
    </w:p>
    <w:p>
      <w:pPr>
        <w:spacing w:before="0" w:after="60"/>
        <w:ind w:left="504" w:hanging="360"/>
      </w:pPr>
      <w:r>
        <w:rPr>
          <w:b/>
          <w:color w:val="2F6F73"/>
        </w:rPr>
        <w:t xml:space="preserve">7. </w:t>
      </w:r>
      <w:r>
        <w:rPr>
          <w:b/>
        </w:rPr>
        <w:t>Write down</w:t>
      </w:r>
      <w:r>
        <w:rPr/>
        <w:t xml:space="preserve"> what was said and what you did, as policy requires. Do not share it with friends.</w:t>
      </w:r>
    </w:p>
    <w:p>
      <w:pPr>
        <w:spacing w:before="0" w:after="60"/>
        <w:ind w:left="504" w:hanging="360"/>
      </w:pPr>
      <w:r>
        <w:rPr>
          <w:b/>
          <w:color w:val="2F6F73"/>
        </w:rPr>
        <w:t xml:space="preserve">8. </w:t>
      </w:r>
      <w:r>
        <w:rPr>
          <w:b/>
        </w:rPr>
        <w:t>Look after yourself.</w:t>
      </w:r>
      <w:r>
        <w:rPr/>
        <w:t xml:space="preserve"> Talk with your supervisor. You do not have to carry it alone.</w:t>
      </w:r>
    </w:p>
    <w:p>
      <w:pPr>
        <w:pStyle w:val="Heading2"/>
        <w:pBdr>
          <w:top w:val="single" w:sz="18" w:space="6" w:color="FF8A3D"/>
        </w:pBdr>
        <w:spacing w:before="320"/>
      </w:pPr>
      <w:r>
        <w:rPr/>
        <w:t>Common questions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647"/>
        <w:gridCol w:w="7145"/>
      </w:tblGrid>
      <w:tr>
        <w:trPr>
          <w:tblHeader/>
          <w:cantSplit/>
        </w:trPr>
        <w:tc>
          <w:tcPr>
            <w:tcW w:type="dxa" w:w="264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A RESIDENT SAYS</w:t>
            </w:r>
          </w:p>
        </w:tc>
        <w:tc>
          <w:tcPr>
            <w:tcW w:type="dxa" w:w="714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YOU COULD SAY</w:t>
            </w:r>
          </w:p>
        </w:tc>
      </w:tr>
      <w:tr>
        <w:trPr>
          <w:cantSplit/>
        </w:trPr>
        <w:tc>
          <w:tcPr>
            <w:tcW w:type="dxa" w:w="2647"/>
            <w:tcMar>
              <w:top w:w="50" w:type="dxa"/>
              <w:left w:w="0" w:type="dxa"/>
              <w:bottom w:w="60" w:type="dxa"/>
              <w:right w:w="90" w:type="dxa"/>
            </w:tcMar>
          </w:tcPr>
          <w:p>
            <w:pPr>
              <w:spacing w:before="0" w:after="0" w:line="252" w:lineRule="auto"/>
            </w:pPr>
            <w:r>
              <w:rPr>
                <w:rFonts w:ascii="Calibri" w:hAnsi="Calibri"/>
                <w:sz w:val="19"/>
              </w:rPr>
              <w:t>"I think I got scammed. I paid $300."</w:t>
            </w:r>
          </w:p>
        </w:tc>
        <w:tc>
          <w:tcPr>
            <w:tcW w:type="dxa" w:w="7145"/>
            <w:tcMar>
              <w:top w:w="50" w:type="dxa"/>
              <w:left w:w="90" w:type="dxa"/>
              <w:bottom w:w="60" w:type="dxa"/>
              <w:right w:w="90" w:type="dxa"/>
            </w:tcMar>
          </w:tcPr>
          <w:p>
            <w:pPr>
              <w:spacing w:before="0" w:after="0" w:line="252" w:lineRule="auto"/>
            </w:pPr>
            <w:r>
              <w:rPr>
                <w:rFonts w:ascii="Calibri" w:hAnsi="Calibri"/>
                <w:sz w:val="19"/>
              </w:rPr>
              <w:t>"Thank you for telling me. Let's call your bank together. Then we can change your email password and report it at reportfraud.ftc.gov."</w:t>
            </w:r>
          </w:p>
        </w:tc>
      </w:tr>
      <w:tr>
        <w:trPr>
          <w:cantSplit/>
        </w:trPr>
        <w:tc>
          <w:tcPr>
            <w:tcW w:type="dxa" w:w="2647"/>
            <w:tcMar>
              <w:top w:w="50" w:type="dxa"/>
              <w:left w:w="0" w:type="dxa"/>
              <w:bottom w:w="60" w:type="dxa"/>
              <w:right w:w="90" w:type="dxa"/>
            </w:tcMar>
          </w:tcPr>
          <w:p>
            <w:pPr>
              <w:spacing w:before="0" w:after="0" w:line="252" w:lineRule="auto"/>
            </w:pPr>
            <w:r>
              <w:rPr>
                <w:rFonts w:ascii="Calibri" w:hAnsi="Calibri"/>
                <w:sz w:val="19"/>
              </w:rPr>
              <w:t>"Someone is threatening to share my pictures."</w:t>
            </w:r>
          </w:p>
        </w:tc>
        <w:tc>
          <w:tcPr>
            <w:tcW w:type="dxa" w:w="7145"/>
            <w:tcMar>
              <w:top w:w="50" w:type="dxa"/>
              <w:left w:w="90" w:type="dxa"/>
              <w:bottom w:w="60" w:type="dxa"/>
              <w:right w:w="90" w:type="dxa"/>
            </w:tcMar>
          </w:tcPr>
          <w:p>
            <w:pPr>
              <w:spacing w:before="0" w:after="0" w:line="252" w:lineRule="auto"/>
            </w:pPr>
            <w:r>
              <w:rPr>
                <w:rFonts w:ascii="Calibri" w:hAnsi="Calibri"/>
                <w:sz w:val="19"/>
              </w:rPr>
              <w:t>Heads-up, then: "This is not your fault. Do not pay and do not delete anything yet. Let's save the messages and get you to [COUNSELING CENTER]. StopNCII.org and the platform report forms are options."</w:t>
            </w:r>
          </w:p>
        </w:tc>
      </w:tr>
      <w:tr>
        <w:trPr>
          <w:cantSplit/>
        </w:trPr>
        <w:tc>
          <w:tcPr>
            <w:tcW w:type="dxa" w:w="2647"/>
            <w:tcMar>
              <w:top w:w="50" w:type="dxa"/>
              <w:left w:w="0" w:type="dxa"/>
              <w:bottom w:w="60" w:type="dxa"/>
              <w:right w:w="90" w:type="dxa"/>
            </w:tcMar>
          </w:tcPr>
          <w:p>
            <w:pPr>
              <w:spacing w:before="0" w:after="0" w:line="252" w:lineRule="auto"/>
            </w:pPr>
            <w:r>
              <w:rPr>
                <w:rFonts w:ascii="Calibri" w:hAnsi="Calibri"/>
                <w:sz w:val="19"/>
              </w:rPr>
              <w:t>"My ex keeps making new accounts to message me."</w:t>
            </w:r>
          </w:p>
        </w:tc>
        <w:tc>
          <w:tcPr>
            <w:tcW w:type="dxa" w:w="7145"/>
            <w:tcMar>
              <w:top w:w="50" w:type="dxa"/>
              <w:left w:w="90" w:type="dxa"/>
              <w:bottom w:w="60" w:type="dxa"/>
              <w:right w:w="90" w:type="dxa"/>
            </w:tcMar>
          </w:tcPr>
          <w:p>
            <w:pPr>
              <w:spacing w:before="0" w:after="0" w:line="252" w:lineRule="auto"/>
            </w:pPr>
            <w:r>
              <w:rPr>
                <w:rFonts w:ascii="Calibri" w:hAnsi="Calibri"/>
                <w:sz w:val="19"/>
              </w:rPr>
              <w:t>"That is not okay. Let's write down the dates and accounts. [TITLE IX OFFICE] and [CAMPUS POLICE] can explain options. You decide what to do."</w:t>
            </w:r>
          </w:p>
        </w:tc>
      </w:tr>
      <w:tr>
        <w:trPr>
          <w:cantSplit/>
        </w:trPr>
        <w:tc>
          <w:tcPr>
            <w:tcW w:type="dxa" w:w="2647"/>
            <w:tcMar>
              <w:top w:w="50" w:type="dxa"/>
              <w:left w:w="0" w:type="dxa"/>
              <w:bottom w:w="60" w:type="dxa"/>
              <w:right w:w="90" w:type="dxa"/>
            </w:tcMar>
          </w:tcPr>
          <w:p>
            <w:pPr>
              <w:spacing w:before="0" w:after="0" w:line="252" w:lineRule="auto"/>
            </w:pPr>
            <w:r>
              <w:rPr>
                <w:rFonts w:ascii="Calibri" w:hAnsi="Calibri"/>
                <w:sz w:val="19"/>
              </w:rPr>
              <w:t>"My partner wants my passcode. Is that normal?"</w:t>
            </w:r>
          </w:p>
        </w:tc>
        <w:tc>
          <w:tcPr>
            <w:tcW w:type="dxa" w:w="7145"/>
            <w:tcMar>
              <w:top w:w="50" w:type="dxa"/>
              <w:left w:w="90" w:type="dxa"/>
              <w:bottom w:w="60" w:type="dxa"/>
              <w:right w:w="90" w:type="dxa"/>
            </w:tcMar>
          </w:tcPr>
          <w:p>
            <w:pPr>
              <w:spacing w:before="0" w:after="0" w:line="252" w:lineRule="auto"/>
            </w:pPr>
            <w:r>
              <w:rPr>
                <w:rFonts w:ascii="Calibri" w:hAnsi="Calibri"/>
                <w:sz w:val="19"/>
              </w:rPr>
              <w:t>"Sharing is a choice. If you feel pressure, you can talk with [COUNSELING CENTER] or loveisrespect (1-866-331-9474, text LOVEIS to 22522) [VERIFY]."</w:t>
            </w:r>
          </w:p>
        </w:tc>
      </w:tr>
      <w:tr>
        <w:trPr>
          <w:cantSplit/>
        </w:trPr>
        <w:tc>
          <w:tcPr>
            <w:tcW w:type="dxa" w:w="2647"/>
            <w:tcMar>
              <w:top w:w="50" w:type="dxa"/>
              <w:left w:w="0" w:type="dxa"/>
              <w:bottom w:w="60" w:type="dxa"/>
              <w:right w:w="90" w:type="dxa"/>
            </w:tcMar>
          </w:tcPr>
          <w:p>
            <w:pPr>
              <w:spacing w:before="0" w:after="0" w:line="252" w:lineRule="auto"/>
            </w:pPr>
            <w:r>
              <w:rPr>
                <w:rFonts w:ascii="Calibri" w:hAnsi="Calibri"/>
                <w:sz w:val="19"/>
              </w:rPr>
              <w:t>"Can I use AI on my paper?"</w:t>
            </w:r>
          </w:p>
        </w:tc>
        <w:tc>
          <w:tcPr>
            <w:tcW w:type="dxa" w:w="7145"/>
            <w:tcMar>
              <w:top w:w="50" w:type="dxa"/>
              <w:left w:w="90" w:type="dxa"/>
              <w:bottom w:w="60" w:type="dxa"/>
              <w:right w:w="90" w:type="dxa"/>
            </w:tcMar>
          </w:tcPr>
          <w:p>
            <w:pPr>
              <w:spacing w:before="0" w:after="0" w:line="252" w:lineRule="auto"/>
            </w:pPr>
            <w:r>
              <w:rPr>
                <w:rFonts w:ascii="Calibri" w:hAnsi="Calibri"/>
                <w:sz w:val="19"/>
              </w:rPr>
              <w:t>"It depends on the course. Check the syllabus, and email your instructor to ask."</w:t>
            </w:r>
          </w:p>
        </w:tc>
      </w:tr>
    </w:tbl>
    <w:p>
      <w:pPr>
        <w:spacing w:before="0" w:after="0" w:line="160" w:lineRule="exact"/>
      </w:pPr>
      <w:r>
        <w:rPr>
          <w:sz w:val="2"/>
        </w:rPr>
      </w:r>
    </w:p>
    <w:p>
      <w:pPr>
        <w:pStyle w:val="Heading2"/>
        <w:pBdr>
          <w:top w:val="single" w:sz="18" w:space="6" w:color="FF8A3D"/>
        </w:pBdr>
        <w:spacing w:before="320"/>
      </w:pPr>
      <w:r>
        <w:rPr/>
        <w:t>Your local card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4840"/>
        <w:gridCol w:w="4952"/>
      </w:tblGrid>
      <w:tr>
        <w:trPr>
          <w:tblHeader/>
          <w:cantSplit/>
        </w:trPr>
        <w:tc>
          <w:tcPr>
            <w:tcW w:type="dxa" w:w="484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CONTACT</w:t>
            </w:r>
          </w:p>
        </w:tc>
        <w:tc>
          <w:tcPr>
            <w:tcW w:type="dxa" w:w="495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NUMBER OR PLACE</w:t>
            </w:r>
          </w:p>
        </w:tc>
      </w:tr>
      <w:tr>
        <w:trPr>
          <w:cantSplit/>
          <w:trHeight w:val="432"/>
        </w:trPr>
        <w:tc>
          <w:tcPr>
            <w:tcW w:type="dxa" w:w="4840"/>
            <w:tcMar>
              <w:top w:w="50" w:type="dxa"/>
              <w:left w:w="0" w:type="dxa"/>
              <w:bottom w:w="60" w:type="dxa"/>
              <w:right w:w="90" w:type="dxa"/>
            </w:tcMar>
          </w:tcPr>
          <w:p>
            <w:pPr>
              <w:spacing w:before="0" w:after="0" w:line="252" w:lineRule="auto"/>
            </w:pPr>
            <w:r>
              <w:rPr>
                <w:rFonts w:ascii="Calibri" w:hAnsi="Calibri"/>
                <w:sz w:val="19"/>
              </w:rPr>
              <w:t>Campus police</w:t>
            </w:r>
          </w:p>
        </w:tc>
        <w:tc>
          <w:tcPr>
            <w:tcW w:type="dxa" w:w="4952"/>
            <w:tcMar>
              <w:top w:w="50" w:type="dxa"/>
              <w:left w:w="90" w:type="dxa"/>
              <w:bottom w:w="60" w:type="dxa"/>
              <w:right w:w="90" w:type="dxa"/>
            </w:tcMar>
          </w:tcPr>
          <w:p>
            <w:pPr>
              <w:spacing w:before="0" w:after="0" w:line="252" w:lineRule="auto"/>
            </w:pPr>
          </w:p>
        </w:tc>
      </w:tr>
      <w:tr>
        <w:trPr>
          <w:cantSplit/>
          <w:trHeight w:val="432"/>
        </w:trPr>
        <w:tc>
          <w:tcPr>
            <w:tcW w:type="dxa" w:w="4840"/>
            <w:tcMar>
              <w:top w:w="50" w:type="dxa"/>
              <w:left w:w="0" w:type="dxa"/>
              <w:bottom w:w="60" w:type="dxa"/>
              <w:right w:w="90" w:type="dxa"/>
            </w:tcMar>
          </w:tcPr>
          <w:p>
            <w:pPr>
              <w:spacing w:before="0" w:after="0" w:line="252" w:lineRule="auto"/>
            </w:pPr>
            <w:r>
              <w:rPr>
                <w:rFonts w:ascii="Calibri" w:hAnsi="Calibri"/>
                <w:sz w:val="19"/>
              </w:rPr>
              <w:t>Counseling center</w:t>
            </w:r>
          </w:p>
        </w:tc>
        <w:tc>
          <w:tcPr>
            <w:tcW w:type="dxa" w:w="4952"/>
            <w:tcMar>
              <w:top w:w="50" w:type="dxa"/>
              <w:left w:w="90" w:type="dxa"/>
              <w:bottom w:w="60" w:type="dxa"/>
              <w:right w:w="90" w:type="dxa"/>
            </w:tcMar>
          </w:tcPr>
          <w:p>
            <w:pPr>
              <w:spacing w:before="0" w:after="0" w:line="252" w:lineRule="auto"/>
            </w:pPr>
          </w:p>
        </w:tc>
      </w:tr>
      <w:tr>
        <w:trPr>
          <w:cantSplit/>
          <w:trHeight w:val="432"/>
        </w:trPr>
        <w:tc>
          <w:tcPr>
            <w:tcW w:type="dxa" w:w="4840"/>
            <w:tcMar>
              <w:top w:w="50" w:type="dxa"/>
              <w:left w:w="0" w:type="dxa"/>
              <w:bottom w:w="60" w:type="dxa"/>
              <w:right w:w="90" w:type="dxa"/>
            </w:tcMar>
          </w:tcPr>
          <w:p>
            <w:pPr>
              <w:spacing w:before="0" w:after="0" w:line="252" w:lineRule="auto"/>
            </w:pPr>
            <w:r>
              <w:rPr>
                <w:rFonts w:ascii="Calibri" w:hAnsi="Calibri"/>
                <w:sz w:val="19"/>
              </w:rPr>
              <w:t>Title IX office</w:t>
            </w:r>
          </w:p>
        </w:tc>
        <w:tc>
          <w:tcPr>
            <w:tcW w:type="dxa" w:w="4952"/>
            <w:tcMar>
              <w:top w:w="50" w:type="dxa"/>
              <w:left w:w="90" w:type="dxa"/>
              <w:bottom w:w="60" w:type="dxa"/>
              <w:right w:w="90" w:type="dxa"/>
            </w:tcMar>
          </w:tcPr>
          <w:p>
            <w:pPr>
              <w:spacing w:before="0" w:after="0" w:line="252" w:lineRule="auto"/>
            </w:pPr>
          </w:p>
        </w:tc>
      </w:tr>
      <w:tr>
        <w:trPr>
          <w:cantSplit/>
          <w:trHeight w:val="432"/>
        </w:trPr>
        <w:tc>
          <w:tcPr>
            <w:tcW w:type="dxa" w:w="4840"/>
            <w:tcMar>
              <w:top w:w="50" w:type="dxa"/>
              <w:left w:w="0" w:type="dxa"/>
              <w:bottom w:w="60" w:type="dxa"/>
              <w:right w:w="90" w:type="dxa"/>
            </w:tcMar>
          </w:tcPr>
          <w:p>
            <w:pPr>
              <w:spacing w:before="0" w:after="0" w:line="252" w:lineRule="auto"/>
            </w:pPr>
            <w:r>
              <w:rPr>
                <w:rFonts w:ascii="Calibri" w:hAnsi="Calibri"/>
                <w:sz w:val="19"/>
              </w:rPr>
              <w:t>Dean of students</w:t>
            </w:r>
          </w:p>
        </w:tc>
        <w:tc>
          <w:tcPr>
            <w:tcW w:type="dxa" w:w="4952"/>
            <w:tcMar>
              <w:top w:w="50" w:type="dxa"/>
              <w:left w:w="90" w:type="dxa"/>
              <w:bottom w:w="60" w:type="dxa"/>
              <w:right w:w="90" w:type="dxa"/>
            </w:tcMar>
          </w:tcPr>
          <w:p>
            <w:pPr>
              <w:spacing w:before="0" w:after="0" w:line="252" w:lineRule="auto"/>
            </w:pPr>
          </w:p>
        </w:tc>
      </w:tr>
      <w:tr>
        <w:trPr>
          <w:cantSplit/>
          <w:trHeight w:val="432"/>
        </w:trPr>
        <w:tc>
          <w:tcPr>
            <w:tcW w:type="dxa" w:w="4840"/>
            <w:tcMar>
              <w:top w:w="50" w:type="dxa"/>
              <w:left w:w="0" w:type="dxa"/>
              <w:bottom w:w="60" w:type="dxa"/>
              <w:right w:w="90" w:type="dxa"/>
            </w:tcMar>
          </w:tcPr>
          <w:p>
            <w:pPr>
              <w:spacing w:before="0" w:after="0" w:line="252" w:lineRule="auto"/>
            </w:pPr>
            <w:r>
              <w:rPr>
                <w:rFonts w:ascii="Calibri" w:hAnsi="Calibri"/>
                <w:sz w:val="19"/>
              </w:rPr>
              <w:t>IT help desk</w:t>
            </w:r>
          </w:p>
        </w:tc>
        <w:tc>
          <w:tcPr>
            <w:tcW w:type="dxa" w:w="4952"/>
            <w:tcMar>
              <w:top w:w="50" w:type="dxa"/>
              <w:left w:w="90" w:type="dxa"/>
              <w:bottom w:w="60" w:type="dxa"/>
              <w:right w:w="90" w:type="dxa"/>
            </w:tcMar>
          </w:tcPr>
          <w:p>
            <w:pPr>
              <w:spacing w:before="0" w:after="0" w:line="252" w:lineRule="auto"/>
            </w:pPr>
          </w:p>
        </w:tc>
      </w:tr>
      <w:tr>
        <w:trPr>
          <w:cantSplit/>
          <w:trHeight w:val="432"/>
        </w:trPr>
        <w:tc>
          <w:tcPr>
            <w:tcW w:type="dxa" w:w="4840"/>
            <w:tcMar>
              <w:top w:w="50" w:type="dxa"/>
              <w:left w:w="0" w:type="dxa"/>
              <w:bottom w:w="60" w:type="dxa"/>
              <w:right w:w="90" w:type="dxa"/>
            </w:tcMar>
          </w:tcPr>
          <w:p>
            <w:pPr>
              <w:spacing w:before="0" w:after="0" w:line="252" w:lineRule="auto"/>
            </w:pPr>
            <w:r>
              <w:rPr>
                <w:rFonts w:ascii="Calibri" w:hAnsi="Calibri"/>
                <w:sz w:val="19"/>
              </w:rPr>
              <w:t>My supervisor</w:t>
            </w:r>
          </w:p>
        </w:tc>
        <w:tc>
          <w:tcPr>
            <w:tcW w:type="dxa" w:w="4952"/>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i/>
        </w:rPr>
        <w:t>A free kit by Competence Collective · competencecollective.org · quillsup.org. Hackles has not been evaluated in a controlled study.</w:t>
      </w:r>
    </w:p>
    <w:sectPr w:rsidR="00FC693F" w:rsidRPr="0006063C" w:rsidSect="00034616">
      <w:headerReference w:type="default" r:id="rId9"/>
      <w:footerReference w:type="default" r:id="rId10"/>
      <w:footerReference w:type="first" r:id="rId11"/>
      <w:headerReference w:type="first" r:id="rId13"/>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RA AND PEER EDUCATOR QUICK GUIDE</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 and Peer Educator Quick Guide</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