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Digital Safety for College Students · Session 4: Is It Real? Synthetic Media, Voice Clones and Generative AI at School</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Hackles · Trust your hackles. Pause · Check · Tell.</w:t>
      </w:r>
      <w:r>
        <w:rPr/>
        <w:t xml:space="preserve"> A free kit by Competence Collective · competencecollective.org · quillsup.org.</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 for campus review.</w:t>
            </w:r>
            <w:r>
              <w:rPr>
                <w:sz w:val="19"/>
              </w:rPr>
              <w:t xml:space="preserve"> Items in [BRACKETS] are local blanks to fill in. Items marked [VERIFY] need a source check. Items marked [COUNSEL TO CONFIRM] need review by the college's counsel, Title IX coordinator or student-affairs leadership before use. This is educational material and is not legal advice.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At a glance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2"/>
        <w:gridCol w:w="8820"/>
      </w:tblGrid>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LENGTH</w:t>
            </w:r>
          </w:p>
        </w:tc>
        <w:tc>
          <w:tcPr>
            <w:tcW w:type="dxa" w:w="8820"/>
            <w:tcMar>
              <w:top w:w="50" w:type="dxa"/>
              <w:left w:w="90" w:type="dxa"/>
              <w:bottom w:w="60" w:type="dxa"/>
              <w:right w:w="90" w:type="dxa"/>
            </w:tcMar>
          </w:tcPr>
          <w:p>
            <w:pPr>
              <w:spacing w:before="0" w:after="0" w:line="252" w:lineRule="auto"/>
            </w:pPr>
            <w:r>
              <w:rPr>
                <w:rFonts w:ascii="Calibri" w:hAnsi="Calibri"/>
                <w:sz w:val="19"/>
              </w:rPr>
              <w:t>50 minutes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820"/>
            <w:tcMar>
              <w:top w:w="50" w:type="dxa"/>
              <w:left w:w="90" w:type="dxa"/>
              <w:bottom w:w="60" w:type="dxa"/>
              <w:right w:w="90" w:type="dxa"/>
            </w:tcMar>
          </w:tcPr>
          <w:p>
            <w:pPr>
              <w:spacing w:before="0" w:after="0" w:line="252" w:lineRule="auto"/>
            </w:pPr>
            <w:r>
              <w:rPr>
                <w:rFonts w:ascii="Calibri" w:hAnsi="Calibri"/>
                <w:sz w:val="19"/>
              </w:rPr>
              <w:t>Students aged about 17 to 24 in first-year seminars, orientation, student success courses, residence life and clubs. Works for groups of 8 to 40.</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TOPICS</w:t>
            </w:r>
          </w:p>
        </w:tc>
        <w:tc>
          <w:tcPr>
            <w:tcW w:type="dxa" w:w="8820"/>
            <w:tcMar>
              <w:top w:w="50" w:type="dxa"/>
              <w:left w:w="90" w:type="dxa"/>
              <w:bottom w:w="60" w:type="dxa"/>
              <w:right w:w="90" w:type="dxa"/>
            </w:tcMar>
          </w:tcPr>
          <w:p>
            <w:pPr>
              <w:spacing w:before="0" w:after="0" w:line="252" w:lineRule="auto"/>
            </w:pPr>
            <w:r>
              <w:rPr>
                <w:rFonts w:ascii="Calibri" w:hAnsi="Calibri"/>
                <w:sz w:val="19"/>
              </w:rPr>
              <w:t>Deepfakes and voice cloning, verification habits, the limits of spotting fakes, generative AI and academic integrity (factual).</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LED BY</w:t>
            </w:r>
          </w:p>
        </w:tc>
        <w:tc>
          <w:tcPr>
            <w:tcW w:type="dxa" w:w="8820"/>
            <w:tcMar>
              <w:top w:w="50" w:type="dxa"/>
              <w:left w:w="90" w:type="dxa"/>
              <w:bottom w:w="60" w:type="dxa"/>
              <w:right w:w="90" w:type="dxa"/>
            </w:tcMar>
          </w:tcPr>
          <w:p>
            <w:pPr>
              <w:spacing w:before="0" w:after="0" w:line="252" w:lineRule="auto"/>
            </w:pPr>
            <w:r>
              <w:rPr>
                <w:rFonts w:ascii="Calibri" w:hAnsi="Calibri"/>
                <w:sz w:val="19"/>
              </w:rPr>
              <w:t>A trained facilitator (faculty, staff, peer educator) with a campus counselor or advocate on call for Sessions 5 and 6</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820"/>
            <w:tcMar>
              <w:top w:w="50" w:type="dxa"/>
              <w:left w:w="90" w:type="dxa"/>
              <w:bottom w:w="60" w:type="dxa"/>
              <w:right w:w="90" w:type="dxa"/>
            </w:tcMar>
          </w:tcPr>
          <w:p>
            <w:pPr>
              <w:spacing w:before="0" w:after="0" w:line="252" w:lineRule="auto"/>
            </w:pPr>
            <w:r>
              <w:rPr>
                <w:rFonts w:ascii="Calibri" w:hAnsi="Calibri"/>
                <w:sz w:val="19"/>
              </w:rPr>
              <w:t>Slides for Session 4; Scenario cards 4A to 4F (descriptions only; no real or fabricated media is shown); Code-word card, one per student; Course AI-policy question template; Campus Safety Card; Evaluation card</w:t>
            </w:r>
          </w:p>
        </w:tc>
      </w:tr>
    </w:tbl>
    <w:p>
      <w:pPr>
        <w:spacing w:before="0" w:after="0" w:line="160" w:lineRule="exact"/>
      </w:pPr>
      <w:r>
        <w:rPr>
          <w:sz w:val="2"/>
        </w:rPr>
      </w:r>
    </w:p>
    <w:p>
      <w:r>
        <w:rPr/>
        <w:t>No student accounts, no student data collected, ever. The evaluation card is anonymous.</w:t>
      </w:r>
    </w:p>
    <w:p>
      <w:pPr>
        <w:pStyle w:val="Heading2"/>
        <w:pBdr>
          <w:top w:val="single" w:sz="18" w:space="6" w:color="FF8A3D"/>
        </w:pBdr>
        <w:spacing w:before="320"/>
      </w:pPr>
      <w:r>
        <w:rPr/>
        <w:t>Objectives</w:t>
      </w:r>
    </w:p>
    <w:p>
      <w:r>
        <w:rPr/>
        <w:t>By the end of the session, students can:</w:t>
      </w:r>
    </w:p>
    <w:p>
      <w:pPr>
        <w:pStyle w:val="ListBullet"/>
      </w:pPr>
      <w:r>
        <w:rPr/>
        <w:t>Describe what synthetic images, video and cloned voices can do, and what they cannot prove.</w:t>
      </w:r>
    </w:p>
    <w:p>
      <w:pPr>
        <w:pStyle w:val="ListBullet"/>
      </w:pPr>
      <w:r>
        <w:rPr/>
        <w:t>Use four verification habits: source, second source, second channel and slow down.</w:t>
      </w:r>
    </w:p>
    <w:p>
      <w:pPr>
        <w:pStyle w:val="ListBullet"/>
      </w:pPr>
      <w:r>
        <w:rPr/>
        <w:t>Set up a family or friend code word and explain a call-back routine.</w:t>
      </w:r>
    </w:p>
    <w:p>
      <w:pPr>
        <w:pStyle w:val="ListBullet"/>
      </w:pPr>
      <w:r>
        <w:rPr/>
        <w:t>Describe the academic integrity questions around generative AI factually: know the course policy, ask in writing, keep drafts, cite as required.</w:t>
      </w:r>
    </w:p>
    <w:p>
      <w:pPr>
        <w:pStyle w:val="ListBullet"/>
      </w:pPr>
      <w:r>
        <w:rPr/>
        <w:t>Say what to do if a fake image or recording of you appears.</w:t>
      </w:r>
    </w:p>
    <w:p>
      <w:pPr>
        <w:pStyle w:val="Heading2"/>
        <w:pBdr>
          <w:top w:val="single" w:sz="18" w:space="6" w:color="FF8A3D"/>
        </w:pBdr>
        <w:spacing w:before="320"/>
      </w:pPr>
      <w:r>
        <w:rPr/>
        <w:t>Before you start (about 20 minutes of prep)</w:t>
      </w:r>
    </w:p>
    <w:p>
      <w:pPr>
        <w:spacing w:before="0" w:after="60"/>
        <w:ind w:left="504" w:hanging="360"/>
      </w:pPr>
      <w:r>
        <w:rPr>
          <w:rFonts w:ascii="Segoe UI Symbol" w:hAnsi="Segoe UI Symbol"/>
        </w:rPr>
        <w:t xml:space="preserve">☐ </w:t>
      </w:r>
      <w:r>
        <w:rPr/>
        <w:t>Find the college's academic integrity policy and the process a student follows when accused of a violation. Write the office name on the slide. [LOCAL]</w:t>
      </w:r>
    </w:p>
    <w:p>
      <w:pPr>
        <w:spacing w:before="0" w:after="60"/>
        <w:ind w:left="504" w:hanging="360"/>
      </w:pPr>
      <w:r>
        <w:rPr>
          <w:rFonts w:ascii="Segoe UI Symbol" w:hAnsi="Segoe UI Symbol"/>
        </w:rPr>
        <w:t xml:space="preserve">☐ </w:t>
      </w:r>
      <w:r>
        <w:rPr/>
        <w:t>Find out whether the college has a general statement on generative AI and whether it leaves rules to each instructor. [LOCAL]</w:t>
      </w:r>
    </w:p>
    <w:p>
      <w:pPr>
        <w:spacing w:before="0" w:after="60"/>
        <w:ind w:left="504" w:hanging="360"/>
      </w:pPr>
      <w:r>
        <w:rPr>
          <w:rFonts w:ascii="Segoe UI Symbol" w:hAnsi="Segoe UI Symbol"/>
        </w:rPr>
        <w:t xml:space="preserve">☐ </w:t>
      </w:r>
      <w:r>
        <w:rPr/>
        <w:t>Invite a faculty member or [ACADEMIC INTEGRITY OFFICER] to attend the last 10 minutes if possible.</w:t>
      </w:r>
    </w:p>
    <w:p>
      <w:pPr>
        <w:spacing w:before="0" w:after="60"/>
        <w:ind w:left="504" w:hanging="360"/>
      </w:pPr>
      <w:r>
        <w:rPr>
          <w:rFonts w:ascii="Segoe UI Symbol" w:hAnsi="Segoe UI Symbol"/>
        </w:rPr>
        <w:t xml:space="preserve">☐ </w:t>
      </w:r>
      <w:r>
        <w:rPr/>
        <w:t>Do not show real deepfakes of real people. Use descriptions only. You are teaching habits, which hold even when the technology changes.</w:t>
      </w:r>
    </w:p>
    <w:p>
      <w:pPr>
        <w:spacing w:before="0" w:after="60"/>
        <w:ind w:left="504" w:hanging="360"/>
      </w:pPr>
      <w:r>
        <w:rPr>
          <w:rFonts w:ascii="Segoe UI Symbol" w:hAnsi="Segoe UI Symbol"/>
        </w:rPr>
        <w:t xml:space="preserve">☐ </w:t>
      </w:r>
      <w:r>
        <w:rPr/>
        <w:t>Read the master disclosure protocol in the Facilitator Guide and the session-specific notes below.</w:t>
      </w:r>
    </w:p>
    <w:p>
      <w:pPr>
        <w:spacing w:before="0" w:after="60"/>
        <w:ind w:left="504" w:hanging="360"/>
      </w:pPr>
      <w:r>
        <w:rPr>
          <w:rFonts w:ascii="Segoe UI Symbol" w:hAnsi="Segoe UI Symbol"/>
        </w:rPr>
        <w:t xml:space="preserve">☐ </w:t>
      </w:r>
      <w:r>
        <w:rPr/>
        <w:t>Print the Campus Safety Card with local blanks filled in.</w:t>
      </w:r>
    </w:p>
    <w:p>
      <w:pPr>
        <w:pStyle w:val="Heading2"/>
        <w:pBdr>
          <w:top w:val="single" w:sz="18" w:space="6" w:color="FF8A3D"/>
        </w:pBdr>
        <w:spacing w:before="320"/>
      </w:pPr>
      <w:r>
        <w:rPr/>
        <w:t>Agenda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51"/>
        <w:gridCol w:w="8241"/>
      </w:tblGrid>
      <w:tr>
        <w:trPr>
          <w:tblHeader/>
          <w:cantSplit/>
        </w:trPr>
        <w:tc>
          <w:tcPr>
            <w:tcW w:type="dxa" w:w="15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2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r>
      <w:tr>
        <w:trPr>
          <w:cantSplit/>
        </w:trPr>
        <w:tc>
          <w:tcPr>
            <w:tcW w:type="dxa" w:w="1551"/>
            <w:tcMar>
              <w:top w:w="50" w:type="dxa"/>
              <w:left w:w="0" w:type="dxa"/>
              <w:bottom w:w="60" w:type="dxa"/>
              <w:right w:w="90" w:type="dxa"/>
            </w:tcMar>
          </w:tcPr>
          <w:p>
            <w:pPr>
              <w:spacing w:before="0" w:after="0" w:line="252" w:lineRule="auto"/>
            </w:pPr>
            <w:r>
              <w:rPr>
                <w:rFonts w:ascii="Calibri" w:hAnsi="Calibri"/>
                <w:sz w:val="19"/>
              </w:rPr>
              <w:t>0 to 5</w:t>
            </w:r>
          </w:p>
        </w:tc>
        <w:tc>
          <w:tcPr>
            <w:tcW w:type="dxa" w:w="8241"/>
            <w:tcMar>
              <w:top w:w="50" w:type="dxa"/>
              <w:left w:w="90" w:type="dxa"/>
              <w:bottom w:w="60" w:type="dxa"/>
              <w:right w:w="90" w:type="dxa"/>
            </w:tcMar>
          </w:tcPr>
          <w:p>
            <w:pPr>
              <w:spacing w:before="0" w:after="0" w:line="252" w:lineRule="auto"/>
            </w:pPr>
            <w:r>
              <w:rPr>
                <w:rFonts w:ascii="Calibri" w:hAnsi="Calibri"/>
                <w:sz w:val="19"/>
              </w:rPr>
              <w:t>Open: seeing is no longer believing, and that is manageable</w:t>
            </w:r>
          </w:p>
        </w:tc>
      </w:tr>
      <w:tr>
        <w:trPr>
          <w:cantSplit/>
        </w:trPr>
        <w:tc>
          <w:tcPr>
            <w:tcW w:type="dxa" w:w="1551"/>
            <w:tcMar>
              <w:top w:w="50" w:type="dxa"/>
              <w:left w:w="0" w:type="dxa"/>
              <w:bottom w:w="60" w:type="dxa"/>
              <w:right w:w="90" w:type="dxa"/>
            </w:tcMar>
          </w:tcPr>
          <w:p>
            <w:pPr>
              <w:spacing w:before="0" w:after="0" w:line="252" w:lineRule="auto"/>
            </w:pPr>
            <w:r>
              <w:rPr>
                <w:rFonts w:ascii="Calibri" w:hAnsi="Calibri"/>
                <w:sz w:val="19"/>
              </w:rPr>
              <w:t>5 to 13</w:t>
            </w:r>
          </w:p>
        </w:tc>
        <w:tc>
          <w:tcPr>
            <w:tcW w:type="dxa" w:w="8241"/>
            <w:tcMar>
              <w:top w:w="50" w:type="dxa"/>
              <w:left w:w="90" w:type="dxa"/>
              <w:bottom w:w="60" w:type="dxa"/>
              <w:right w:w="90" w:type="dxa"/>
            </w:tcMar>
          </w:tcPr>
          <w:p>
            <w:pPr>
              <w:spacing w:before="0" w:after="0" w:line="252" w:lineRule="auto"/>
            </w:pPr>
            <w:r>
              <w:rPr>
                <w:rFonts w:ascii="Calibri" w:hAnsi="Calibri"/>
                <w:sz w:val="19"/>
              </w:rPr>
              <w:t>Four habits for verifying</w:t>
            </w:r>
          </w:p>
        </w:tc>
      </w:tr>
      <w:tr>
        <w:trPr>
          <w:cantSplit/>
        </w:trPr>
        <w:tc>
          <w:tcPr>
            <w:tcW w:type="dxa" w:w="1551"/>
            <w:tcMar>
              <w:top w:w="50" w:type="dxa"/>
              <w:left w:w="0" w:type="dxa"/>
              <w:bottom w:w="60" w:type="dxa"/>
              <w:right w:w="90" w:type="dxa"/>
            </w:tcMar>
          </w:tcPr>
          <w:p>
            <w:pPr>
              <w:spacing w:before="0" w:after="0" w:line="252" w:lineRule="auto"/>
            </w:pPr>
            <w:r>
              <w:rPr>
                <w:rFonts w:ascii="Calibri" w:hAnsi="Calibri"/>
                <w:sz w:val="19"/>
              </w:rPr>
              <w:t>13 to 21</w:t>
            </w:r>
          </w:p>
        </w:tc>
        <w:tc>
          <w:tcPr>
            <w:tcW w:type="dxa" w:w="8241"/>
            <w:tcMar>
              <w:top w:w="50" w:type="dxa"/>
              <w:left w:w="90" w:type="dxa"/>
              <w:bottom w:w="60" w:type="dxa"/>
              <w:right w:w="90" w:type="dxa"/>
            </w:tcMar>
          </w:tcPr>
          <w:p>
            <w:pPr>
              <w:spacing w:before="0" w:after="0" w:line="252" w:lineRule="auto"/>
            </w:pPr>
            <w:r>
              <w:rPr>
                <w:rFonts w:ascii="Calibri" w:hAnsi="Calibri"/>
                <w:sz w:val="19"/>
              </w:rPr>
              <w:t>Generative AI and academic integrity: the facts</w:t>
            </w:r>
          </w:p>
        </w:tc>
      </w:tr>
      <w:tr>
        <w:trPr>
          <w:cantSplit/>
        </w:trPr>
        <w:tc>
          <w:tcPr>
            <w:tcW w:type="dxa" w:w="1551"/>
            <w:tcMar>
              <w:top w:w="50" w:type="dxa"/>
              <w:left w:w="0" w:type="dxa"/>
              <w:bottom w:w="60" w:type="dxa"/>
              <w:right w:w="90" w:type="dxa"/>
            </w:tcMar>
          </w:tcPr>
          <w:p>
            <w:pPr>
              <w:spacing w:before="0" w:after="0" w:line="252" w:lineRule="auto"/>
            </w:pPr>
            <w:r>
              <w:rPr>
                <w:rFonts w:ascii="Calibri" w:hAnsi="Calibri"/>
                <w:sz w:val="19"/>
              </w:rPr>
              <w:t>21 to 36</w:t>
            </w:r>
          </w:p>
        </w:tc>
        <w:tc>
          <w:tcPr>
            <w:tcW w:type="dxa" w:w="8241"/>
            <w:tcMar>
              <w:top w:w="50" w:type="dxa"/>
              <w:left w:w="90" w:type="dxa"/>
              <w:bottom w:w="60" w:type="dxa"/>
              <w:right w:w="90" w:type="dxa"/>
            </w:tcMar>
          </w:tcPr>
          <w:p>
            <w:pPr>
              <w:spacing w:before="0" w:after="0" w:line="252" w:lineRule="auto"/>
            </w:pPr>
            <w:r>
              <w:rPr>
                <w:rFonts w:ascii="Calibri" w:hAnsi="Calibri"/>
                <w:sz w:val="19"/>
              </w:rPr>
              <w:t>Activity: Real, Fake, or Can't Tell?</w:t>
            </w:r>
          </w:p>
        </w:tc>
      </w:tr>
      <w:tr>
        <w:trPr>
          <w:cantSplit/>
        </w:trPr>
        <w:tc>
          <w:tcPr>
            <w:tcW w:type="dxa" w:w="1551"/>
            <w:tcMar>
              <w:top w:w="50" w:type="dxa"/>
              <w:left w:w="0" w:type="dxa"/>
              <w:bottom w:w="60" w:type="dxa"/>
              <w:right w:w="90" w:type="dxa"/>
            </w:tcMar>
          </w:tcPr>
          <w:p>
            <w:pPr>
              <w:spacing w:before="0" w:after="0" w:line="252" w:lineRule="auto"/>
            </w:pPr>
            <w:r>
              <w:rPr>
                <w:rFonts w:ascii="Calibri" w:hAnsi="Calibri"/>
                <w:sz w:val="19"/>
              </w:rPr>
              <w:t>36 to 44</w:t>
            </w:r>
          </w:p>
        </w:tc>
        <w:tc>
          <w:tcPr>
            <w:tcW w:type="dxa" w:w="8241"/>
            <w:tcMar>
              <w:top w:w="50" w:type="dxa"/>
              <w:left w:w="90" w:type="dxa"/>
              <w:bottom w:w="60" w:type="dxa"/>
              <w:right w:w="90" w:type="dxa"/>
            </w:tcMar>
          </w:tcPr>
          <w:p>
            <w:pPr>
              <w:spacing w:before="0" w:after="0" w:line="252" w:lineRule="auto"/>
            </w:pPr>
            <w:r>
              <w:rPr>
                <w:rFonts w:ascii="Calibri" w:hAnsi="Calibri"/>
                <w:sz w:val="19"/>
              </w:rPr>
              <w:t>Discussion</w:t>
            </w:r>
          </w:p>
        </w:tc>
      </w:tr>
      <w:tr>
        <w:trPr>
          <w:cantSplit/>
        </w:trPr>
        <w:tc>
          <w:tcPr>
            <w:tcW w:type="dxa" w:w="1551"/>
            <w:tcMar>
              <w:top w:w="50" w:type="dxa"/>
              <w:left w:w="0" w:type="dxa"/>
              <w:bottom w:w="60" w:type="dxa"/>
              <w:right w:w="90" w:type="dxa"/>
            </w:tcMar>
          </w:tcPr>
          <w:p>
            <w:pPr>
              <w:spacing w:before="0" w:after="0" w:line="252" w:lineRule="auto"/>
            </w:pPr>
            <w:r>
              <w:rPr>
                <w:rFonts w:ascii="Calibri" w:hAnsi="Calibri"/>
                <w:sz w:val="19"/>
              </w:rPr>
              <w:t>44 to 50</w:t>
            </w:r>
          </w:p>
        </w:tc>
        <w:tc>
          <w:tcPr>
            <w:tcW w:type="dxa" w:w="8241"/>
            <w:tcMar>
              <w:top w:w="50" w:type="dxa"/>
              <w:left w:w="90" w:type="dxa"/>
              <w:bottom w:w="60" w:type="dxa"/>
              <w:right w:w="90" w:type="dxa"/>
            </w:tcMar>
          </w:tcPr>
          <w:p>
            <w:pPr>
              <w:spacing w:before="0" w:after="0" w:line="252" w:lineRule="auto"/>
            </w:pPr>
            <w:r>
              <w:rPr>
                <w:rFonts w:ascii="Calibri" w:hAnsi="Calibri"/>
                <w:sz w:val="19"/>
              </w:rPr>
              <w:t>Takeaway and evaluation card</w:t>
            </w:r>
          </w:p>
        </w:tc>
      </w:tr>
    </w:tbl>
    <w:p>
      <w:pPr>
        <w:spacing w:before="0" w:after="0" w:line="160" w:lineRule="exact"/>
      </w:pPr>
      <w:r>
        <w:rPr>
          <w:sz w:val="2"/>
        </w:rPr>
      </w:r>
    </w:p>
    <w:p>
      <w:r>
        <w:rPr>
          <w:b/>
        </w:rPr>
        <w:t>Hackles up? Pause. Check. Tell.</w:t>
      </w:r>
      <w:r>
        <w:rPr/>
        <w:t xml:space="preserve"> In this module the idea has the same four steps for adults. Hackles up is the noticing step: a prickle that something is too good, too urgent, too secret or just a little off. Pause means nothing has to happen in the next five minutes. Check means confirming through a door you opened yourself, such as a known phone number or the official app. Tell means bringing in a person; a false alarm costs little, and if you were fooled anyway it is never your fault.</w:t>
      </w:r>
    </w:p>
    <w:p>
      <w:pPr>
        <w:pStyle w:val="Heading2"/>
        <w:pBdr>
          <w:top w:val="single" w:sz="18" w:space="6" w:color="FF8A3D"/>
        </w:pBdr>
        <w:spacing w:before="320"/>
      </w:pPr>
      <w:r>
        <w:rPr/>
        <w:t>Facilitator script</w:t>
      </w:r>
    </w:p>
    <w:p>
      <w:r>
        <w:rPr/>
        <w:t>Lines in the script are written to be said in your own voice. Change the words freely; keep the facts. Items in [BRACKETS] are local.</w:t>
      </w:r>
    </w:p>
    <w:p>
      <w:pPr>
        <w:pStyle w:val="Heading3"/>
      </w:pPr>
      <w:r>
        <w:rPr/>
        <w:t>0 to 5 minutes: Open: seeing is no longer believing, and that is manageable</w:t>
      </w:r>
    </w:p>
    <w:p>
      <w:r>
        <w:rPr/>
        <w:t>Today has two parts. The first is about media that may or may not be real: a voice message, a video clip, a screenshot. The second is about generative AI in your coursework. In both parts, my goal is to give you habits, not a lecture on what is good or bad.</w:t>
      </w:r>
    </w:p>
    <w:p>
      <w:r>
        <w:rPr/>
        <w:t>Start with a plain fact. It is now possible to make a convincing voice from a short recording of a real person, and to make or alter images and video. The quality varies and keeps changing, so any list of tells, such as strange fingers or odd blinking, goes out of date. Please do not build your safety on being a good detective. Build it on process.</w:t>
      </w:r>
    </w:p>
    <w:p>
      <w:r>
        <w:rPr/>
        <w:t>Hackles up? The prickle for synthetic media is a message that creates strong emotion and urgency, plus a request to do something unusual. A relative in trouble who needs money now. A famous person endorsing a giveaway. A recruiter who needs you to install software for a video interview. Pause. Check through a second channel. Tell someone.</w:t>
      </w:r>
    </w:p>
    <w:p>
      <w:pPr>
        <w:pStyle w:val="Heading3"/>
      </w:pPr>
      <w:r>
        <w:rPr/>
        <w:t>5 to 13 minutes: Four habits for verifying</w:t>
      </w:r>
    </w:p>
    <w:p>
      <w:r>
        <w:rPr/>
        <w:t>Four habits. Source: where did this come from? A clip with no original context, reposted by accounts you do not know, is weak. Second source: does anyone reliable report the same thing? If a major event is real, many reporters will cover it. Second channel: if it is a person asking for something, contact them through a number or app you already had, not the one on the message. Slow down: the more a message makes you angry, scared or thrilled, the more important it is to wait ten minutes.</w:t>
      </w:r>
    </w:p>
    <w:p>
      <w:r>
        <w:rPr/>
        <w:t>Voice cloning scams deserve a special mention. A call or voice message arrives, sounding like a parent, a sibling or a friend. Something has happened, and they need money, gift cards or a code immediately. Even if the voice sounds exactly right, hang up and call back on the number saved in your phone. Many families set a code word, a short phrase that only they know and that is never posted. Use it for emergencies. Make it silly and memorable, and change it if it leaks.</w:t>
      </w:r>
    </w:p>
    <w:p>
      <w:r>
        <w:rPr/>
        <w:t>Provenance labels and watermarks are being developed by some platforms and camera makers, and they can help when present [VERIFY]. Their absence proves nothing, though. The same goes for "AI detectors" for images and text. They make mistakes in both directions [VERIFY], so treat them as one clue and never as proof.</w:t>
      </w:r>
    </w:p>
    <w:p>
      <w:r>
        <w:rPr/>
        <w:t>If a fake image or recording of you appears, whether it is a voice clip, a doctored screenshot or a fabricated intimate image, you are the victim of a harm that was done to you. Save the links and dates. Report it to the platform. Tell someone you trust. Intimate fakes involve Session 5's steps, including StopNCII for adults [VERIFIED in kit; whether it covers AI-generated images is unclear, VERIFY]. Many states have laws on sexual deepfakes, and campus policy may apply as well [VERIFY; COUNSEL TO CONFIRM].</w:t>
      </w:r>
    </w:p>
    <w:p>
      <w:pPr>
        <w:pStyle w:val="Heading3"/>
      </w:pPr>
      <w:r>
        <w:rPr/>
        <w:t>13 to 21 minutes: Generative AI and academic integrity: the facts</w:t>
      </w:r>
    </w:p>
    <w:p>
      <w:r>
        <w:rPr/>
        <w:t>On generative AI and coursework, I will stick to facts and leave moralizing aside. First fact: policies differ. One instructor may allow it for brainstorming and ban it for drafting. Another may require you to disclose any use. Another may ban it entirely. [COLLEGE NAME] has [COLLEGE POLICY SUMMARY, or: leaves it to each instructor] [LOCAL]. The syllabus is the first place to look. If it says nothing, ask your instructor in writing and keep the reply.</w:t>
      </w:r>
    </w:p>
    <w:p>
      <w:r>
        <w:rPr/>
        <w:t>Second fact: these tools can write confident, fluent text that is wrong, and they can invent sources that do not exist. If you use one where it is allowed, you remain responsible for checking every claim and every citation. Third fact: if you use a tool where the course allows it, follow the course rule on how to credit it, because the rule might ask for a note on what the tool did.</w:t>
      </w:r>
    </w:p>
    <w:p>
      <w:r>
        <w:rPr/>
        <w:t>Fourth: privacy. Anything you paste into a tool may be stored or used by the company depending on its terms [VERIFY]. Do not paste other people's personal information, your classmates' work, or documents covered by a confidentiality agreement.</w:t>
      </w:r>
    </w:p>
    <w:p>
      <w:r>
        <w:rPr/>
        <w:t>Fifth: detection. Software that claims to detect AI-written text can wrongly flag honest work, including work by students who write in a second language [VERIFY]. If you are ever flagged, keep your notes, drafts and version history, ask what evidence is being used, and use the college's process. [ACADEMIC INTEGRITY OFFICE] explains your rights in that process [LOCAL].</w:t>
      </w:r>
    </w:p>
    <w:p>
      <w:r>
        <w:rPr/>
        <w:t>Last, assistive technology such as speech-to-text, screen readers and captioning serves a different purpose from text generators, and policies sometimes get confused. If a tool is part of your accommodation, [DISABILITY SERVICES] can document that with your instructor.</w:t>
      </w:r>
    </w:p>
    <w:p>
      <w:pPr>
        <w:pStyle w:val="Heading2"/>
        <w:pBdr>
          <w:top w:val="single" w:sz="18" w:space="6" w:color="FF8A3D"/>
        </w:pBdr>
        <w:spacing w:before="320"/>
      </w:pPr>
      <w:r>
        <w:rPr/>
        <w:t>Activity (15 minutes): Real, Fake, or Can't Tell?</w:t>
      </w:r>
    </w:p>
    <w:p>
      <w:r>
        <w:rPr>
          <w:b/>
        </w:rPr>
        <w:t>Set-up</w:t>
      </w:r>
    </w:p>
    <w:p>
      <w:pPr>
        <w:pStyle w:val="ListBullet"/>
      </w:pPr>
      <w:r>
        <w:rPr/>
        <w:t>Groups of 3 or 4. Each group gets three cards (descriptions only). No media is shown.</w:t>
      </w:r>
    </w:p>
    <w:p>
      <w:pPr>
        <w:pStyle w:val="ListBullet"/>
      </w:pPr>
      <w:r>
        <w:rPr/>
        <w:t>For cards 4A to 4D, groups choose: Likely real, Likely fake, or Can't tell yet, then list the habits they would use. For cards 4E and 4F, groups write the question they would ask or the next step they would take.</w:t>
      </w:r>
    </w:p>
    <w:p>
      <w:pPr>
        <w:pStyle w:val="ListBullet"/>
      </w:pPr>
      <w:r>
        <w:rPr/>
        <w:t>No student plays a person who creates a fake or who accuses another student.</w:t>
      </w:r>
    </w:p>
    <w:p>
      <w:r>
        <w:rPr>
          <w:b/>
        </w:rPr>
        <w:t>Steps</w:t>
      </w:r>
    </w:p>
    <w:p>
      <w:pPr>
        <w:spacing w:before="0" w:after="60"/>
        <w:ind w:left="504" w:hanging="360"/>
      </w:pPr>
      <w:r>
        <w:rPr>
          <w:b/>
          <w:color w:val="2F6F73"/>
        </w:rPr>
        <w:t xml:space="preserve">1. </w:t>
      </w:r>
      <w:r>
        <w:rPr/>
        <w:t>Read the card together. (1 min)</w:t>
      </w:r>
    </w:p>
    <w:p>
      <w:pPr>
        <w:spacing w:before="0" w:after="60"/>
        <w:ind w:left="504" w:hanging="360"/>
      </w:pPr>
      <w:r>
        <w:rPr>
          <w:b/>
          <w:color w:val="2F6F73"/>
        </w:rPr>
        <w:t xml:space="preserve">2. </w:t>
      </w:r>
      <w:r>
        <w:rPr/>
        <w:t>Choose a verdict and name the habit that would settle it: source, second source, second channel, slow down. (2 min)</w:t>
      </w:r>
    </w:p>
    <w:p>
      <w:pPr>
        <w:spacing w:before="0" w:after="60"/>
        <w:ind w:left="504" w:hanging="360"/>
      </w:pPr>
      <w:r>
        <w:rPr>
          <w:b/>
          <w:color w:val="2F6F73"/>
        </w:rPr>
        <w:t xml:space="preserve">3. </w:t>
      </w:r>
      <w:r>
        <w:rPr/>
        <w:t>Write the first sentence you would say to a friend, to your instructor, or to yourself. (2 min)</w:t>
      </w:r>
    </w:p>
    <w:p>
      <w:pPr>
        <w:spacing w:before="0" w:after="60"/>
        <w:ind w:left="504" w:hanging="360"/>
      </w:pPr>
      <w:r>
        <w:rPr>
          <w:b/>
          <w:color w:val="2F6F73"/>
        </w:rPr>
        <w:t xml:space="preserve">4. </w:t>
      </w:r>
      <w:r>
        <w:rPr/>
        <w:t>Whole-group sharing of one card per group. (rest)</w:t>
      </w:r>
    </w:p>
    <w:p>
      <w:pPr>
        <w:pStyle w:val="Heading3"/>
      </w:pPr>
      <w:r>
        <w:rPr/>
        <w:t>Scenario cards (print and cut; every card is a fictional composite)</w:t>
      </w:r>
    </w:p>
    <w:p>
      <w:r>
        <w:rPr/>
        <w:t>Names and details are invented. Any resemblance to a real student is accidental. Change names if one matches a student in your room.</w:t>
      </w:r>
    </w:p>
    <w:p>
      <w:r>
        <w:rPr>
          <w:b/>
        </w:rPr>
        <w:t>Card 4A A voice message</w:t>
      </w:r>
    </w:p>
    <w:p>
      <w:r>
        <w:rPr/>
        <w:t>Noor gets a voice message from what sounds like her brother: "I am in trouble. Please send $300 right now and do not tell Mom." The audio is a little noisy. It came from an unfamiliar number.</w:t>
      </w:r>
    </w:p>
    <w:p>
      <w:r>
        <w:rPr>
          <w:b/>
        </w:rPr>
        <w:t>Card 4B The announcement</w:t>
      </w:r>
    </w:p>
    <w:p>
      <w:r>
        <w:rPr/>
        <w:t>A video appears on social media of the college president announcing a free semester for all students if they fill out a form. The form asks for a login and banking details.</w:t>
      </w:r>
    </w:p>
    <w:p>
      <w:r>
        <w:rPr>
          <w:b/>
        </w:rPr>
        <w:t>Card 4C The screenshot</w:t>
      </w:r>
    </w:p>
    <w:p>
      <w:r>
        <w:rPr/>
        <w:t>A group chat screenshot goes around, showing a classmate supposedly writing something offensive. He says he never wrote it. Screenshots can be edited.</w:t>
      </w:r>
    </w:p>
    <w:p>
      <w:r>
        <w:rPr>
          <w:b/>
        </w:rPr>
        <w:t>Card 4D The interview</w:t>
      </w:r>
    </w:p>
    <w:p>
      <w:r>
        <w:rPr/>
        <w:t>Dario has a video interview. The 'recruiter' on screen looks slightly off, speaks over a delay, and says the company needs him to install a special program to continue.</w:t>
      </w:r>
    </w:p>
    <w:p>
      <w:r>
        <w:rPr>
          <w:b/>
        </w:rPr>
        <w:t>Card 4E My syllabus</w:t>
      </w:r>
    </w:p>
    <w:p>
      <w:r>
        <w:rPr/>
        <w:t>Ife's syllabus says only: "Use of outside assistance must be disclosed." She wants to use an AI tool to check grammar on her draft and is not sure that counts.</w:t>
      </w:r>
    </w:p>
    <w:p>
      <w:r>
        <w:rPr>
          <w:b/>
        </w:rPr>
        <w:t>Card 4F Flagged</w:t>
      </w:r>
    </w:p>
    <w:p>
      <w:r>
        <w:rPr/>
        <w:t>Beatriz wrote an essay on her own over three evenings. A detection tool flags it as likely AI-generated. She is worried and angry.</w:t>
      </w:r>
    </w:p>
    <w:p>
      <w:pPr>
        <w:pStyle w:val="Heading3"/>
      </w:pPr>
      <w:r>
        <w:rPr/>
        <w:t>Role-play practice (no student plays a victim or an offender)</w:t>
      </w:r>
    </w:p>
    <w:p>
      <w:r>
        <w:rPr>
          <w:b/>
        </w:rPr>
        <w:t>The Call-Back and the Policy Question.</w:t>
      </w:r>
      <w:r>
        <w:rPr/>
        <w:t xml:space="preserve"> Pairs, two short rounds. Round 1: Partner A reads a printed message from the "relative" card and practices the call-back line: "I got a message from this number and I want to check. What was the last thing we talked about, and what is our code word?" Partner B plays the real relative, who is relieved and says the real answer from a card. Round 2: Partner A practices an email to an instructor: "My syllabus says outside help must be disclosed. May I use a spell checker or an AI tool for grammar only, and how should I note it?" Partner B plays the instructor and replies with a policy from a card. No one plays a scammer, a cloner or an accuser.</w:t>
      </w:r>
    </w:p>
    <w:p>
      <w:pPr>
        <w:pStyle w:val="Heading3"/>
      </w:pPr>
      <w:r>
        <w:rPr/>
        <w:t>Facilitator key</w:t>
      </w:r>
    </w:p>
    <w:p>
      <w:r>
        <w:rPr/>
        <w:t>Let "Can't tell yet" be a respected answer. The skill is knowing what to do while you cannot tell.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34"/>
        <w:gridCol w:w="7958"/>
      </w:tblGrid>
      <w:tr>
        <w:trPr>
          <w:tblHeader/>
          <w:cantSplit/>
        </w:trPr>
        <w:tc>
          <w:tcPr>
            <w:tcW w:type="dxa" w:w="183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9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LISTEN FOR</w:t>
            </w:r>
          </w:p>
        </w:tc>
      </w:tr>
      <w:tr>
        <w:trPr>
          <w:cantSplit/>
        </w:trPr>
        <w:tc>
          <w:tcPr>
            <w:tcW w:type="dxa" w:w="1834"/>
            <w:tcMar>
              <w:top w:w="50" w:type="dxa"/>
              <w:left w:w="0" w:type="dxa"/>
              <w:bottom w:w="60" w:type="dxa"/>
              <w:right w:w="90" w:type="dxa"/>
            </w:tcMar>
          </w:tcPr>
          <w:p>
            <w:pPr>
              <w:spacing w:before="0" w:after="0" w:line="252" w:lineRule="auto"/>
            </w:pPr>
            <w:r>
              <w:rPr>
                <w:rFonts w:ascii="Calibri" w:hAnsi="Calibri"/>
                <w:sz w:val="19"/>
              </w:rPr>
              <w:t>4A A voice message</w:t>
            </w:r>
          </w:p>
        </w:tc>
        <w:tc>
          <w:tcPr>
            <w:tcW w:type="dxa" w:w="7958"/>
            <w:tcMar>
              <w:top w:w="50" w:type="dxa"/>
              <w:left w:w="90" w:type="dxa"/>
              <w:bottom w:w="60" w:type="dxa"/>
              <w:right w:w="90" w:type="dxa"/>
            </w:tcMar>
          </w:tcPr>
          <w:p>
            <w:pPr>
              <w:spacing w:before="0" w:after="0" w:line="252" w:lineRule="auto"/>
            </w:pPr>
            <w:r>
              <w:rPr>
                <w:rFonts w:ascii="Calibri" w:hAnsi="Calibri"/>
                <w:sz w:val="19"/>
              </w:rPr>
              <w:t>Key: habits are second channel (call his saved number, ask the code word), slow down. Strong emotion plus secrecy plus urgency is the pattern. Can't tell yet is a valid answer; the action is the same.</w:t>
            </w:r>
          </w:p>
        </w:tc>
      </w:tr>
      <w:tr>
        <w:trPr>
          <w:cantSplit/>
        </w:trPr>
        <w:tc>
          <w:tcPr>
            <w:tcW w:type="dxa" w:w="1834"/>
            <w:tcMar>
              <w:top w:w="50" w:type="dxa"/>
              <w:left w:w="0" w:type="dxa"/>
              <w:bottom w:w="60" w:type="dxa"/>
              <w:right w:w="90" w:type="dxa"/>
            </w:tcMar>
          </w:tcPr>
          <w:p>
            <w:pPr>
              <w:spacing w:before="0" w:after="0" w:line="252" w:lineRule="auto"/>
            </w:pPr>
            <w:r>
              <w:rPr>
                <w:rFonts w:ascii="Calibri" w:hAnsi="Calibri"/>
                <w:sz w:val="19"/>
              </w:rPr>
              <w:t>4B The announcement</w:t>
            </w:r>
          </w:p>
        </w:tc>
        <w:tc>
          <w:tcPr>
            <w:tcW w:type="dxa" w:w="7958"/>
            <w:tcMar>
              <w:top w:w="50" w:type="dxa"/>
              <w:left w:w="90" w:type="dxa"/>
              <w:bottom w:w="60" w:type="dxa"/>
              <w:right w:w="90" w:type="dxa"/>
            </w:tcMar>
          </w:tcPr>
          <w:p>
            <w:pPr>
              <w:spacing w:before="0" w:after="0" w:line="252" w:lineRule="auto"/>
            </w:pPr>
            <w:r>
              <w:rPr>
                <w:rFonts w:ascii="Calibri" w:hAnsi="Calibri"/>
                <w:sz w:val="19"/>
              </w:rPr>
              <w:t>Key: source (the college's official site and channels), second source, form asks for credentials. Report to [IT SECURITY]. Even a real-looking video does not make a form safe.</w:t>
            </w:r>
          </w:p>
        </w:tc>
      </w:tr>
      <w:tr>
        <w:trPr>
          <w:cantSplit/>
        </w:trPr>
        <w:tc>
          <w:tcPr>
            <w:tcW w:type="dxa" w:w="1834"/>
            <w:tcMar>
              <w:top w:w="50" w:type="dxa"/>
              <w:left w:w="0" w:type="dxa"/>
              <w:bottom w:w="60" w:type="dxa"/>
              <w:right w:w="90" w:type="dxa"/>
            </w:tcMar>
          </w:tcPr>
          <w:p>
            <w:pPr>
              <w:spacing w:before="0" w:after="0" w:line="252" w:lineRule="auto"/>
            </w:pPr>
            <w:r>
              <w:rPr>
                <w:rFonts w:ascii="Calibri" w:hAnsi="Calibri"/>
                <w:sz w:val="19"/>
              </w:rPr>
              <w:t>4C The screenshot</w:t>
            </w:r>
          </w:p>
        </w:tc>
        <w:tc>
          <w:tcPr>
            <w:tcW w:type="dxa" w:w="7958"/>
            <w:tcMar>
              <w:top w:w="50" w:type="dxa"/>
              <w:left w:w="90" w:type="dxa"/>
              <w:bottom w:w="60" w:type="dxa"/>
              <w:right w:w="90" w:type="dxa"/>
            </w:tcMar>
          </w:tcPr>
          <w:p>
            <w:pPr>
              <w:spacing w:before="0" w:after="0" w:line="252" w:lineRule="auto"/>
            </w:pPr>
            <w:r>
              <w:rPr>
                <w:rFonts w:ascii="Calibri" w:hAnsi="Calibri"/>
                <w:sz w:val="19"/>
              </w:rPr>
              <w:t>Key: do not pass it along; ask the person directly; remember a screenshot is weak proof; if it is harassment, see Session 6. Keep it factual and do not use it to pile on.</w:t>
            </w:r>
          </w:p>
        </w:tc>
      </w:tr>
      <w:tr>
        <w:trPr>
          <w:cantSplit/>
        </w:trPr>
        <w:tc>
          <w:tcPr>
            <w:tcW w:type="dxa" w:w="1834"/>
            <w:tcMar>
              <w:top w:w="50" w:type="dxa"/>
              <w:left w:w="0" w:type="dxa"/>
              <w:bottom w:w="60" w:type="dxa"/>
              <w:right w:w="90" w:type="dxa"/>
            </w:tcMar>
          </w:tcPr>
          <w:p>
            <w:pPr>
              <w:spacing w:before="0" w:after="0" w:line="252" w:lineRule="auto"/>
            </w:pPr>
            <w:r>
              <w:rPr>
                <w:rFonts w:ascii="Calibri" w:hAnsi="Calibri"/>
                <w:sz w:val="19"/>
              </w:rPr>
              <w:t>4D The interview</w:t>
            </w:r>
          </w:p>
        </w:tc>
        <w:tc>
          <w:tcPr>
            <w:tcW w:type="dxa" w:w="7958"/>
            <w:tcMar>
              <w:top w:w="50" w:type="dxa"/>
              <w:left w:w="90" w:type="dxa"/>
              <w:bottom w:w="60" w:type="dxa"/>
              <w:right w:w="90" w:type="dxa"/>
            </w:tcMar>
          </w:tcPr>
          <w:p>
            <w:pPr>
              <w:spacing w:before="0" w:after="0" w:line="252" w:lineRule="auto"/>
            </w:pPr>
            <w:r>
              <w:rPr>
                <w:rFonts w:ascii="Calibri" w:hAnsi="Calibri"/>
                <w:sz w:val="19"/>
              </w:rPr>
              <w:t>Key: verify the company and the recruiter through the company's website and a known phone number; do not install software from an unverified source; ask [CAREER SERVICES]. Connects to Session 1.</w:t>
            </w:r>
          </w:p>
        </w:tc>
      </w:tr>
      <w:tr>
        <w:trPr>
          <w:cantSplit/>
        </w:trPr>
        <w:tc>
          <w:tcPr>
            <w:tcW w:type="dxa" w:w="1834"/>
            <w:tcMar>
              <w:top w:w="50" w:type="dxa"/>
              <w:left w:w="0" w:type="dxa"/>
              <w:bottom w:w="60" w:type="dxa"/>
              <w:right w:w="90" w:type="dxa"/>
            </w:tcMar>
          </w:tcPr>
          <w:p>
            <w:pPr>
              <w:spacing w:before="0" w:after="0" w:line="252" w:lineRule="auto"/>
            </w:pPr>
            <w:r>
              <w:rPr>
                <w:rFonts w:ascii="Calibri" w:hAnsi="Calibri"/>
                <w:sz w:val="19"/>
              </w:rPr>
              <w:t>4E My syllabus</w:t>
            </w:r>
          </w:p>
        </w:tc>
        <w:tc>
          <w:tcPr>
            <w:tcW w:type="dxa" w:w="7958"/>
            <w:tcMar>
              <w:top w:w="50" w:type="dxa"/>
              <w:left w:w="90" w:type="dxa"/>
              <w:bottom w:w="60" w:type="dxa"/>
              <w:right w:w="90" w:type="dxa"/>
            </w:tcMar>
          </w:tcPr>
          <w:p>
            <w:pPr>
              <w:spacing w:before="0" w:after="0" w:line="252" w:lineRule="auto"/>
            </w:pPr>
            <w:r>
              <w:rPr>
                <w:rFonts w:ascii="Calibri" w:hAnsi="Calibri"/>
                <w:sz w:val="19"/>
              </w:rPr>
              <w:t>Key: ask the instructor in writing; keep the reply; use the template. Facts over guessing.</w:t>
            </w:r>
          </w:p>
        </w:tc>
      </w:tr>
      <w:tr>
        <w:trPr>
          <w:cantSplit/>
        </w:trPr>
        <w:tc>
          <w:tcPr>
            <w:tcW w:type="dxa" w:w="1834"/>
            <w:tcMar>
              <w:top w:w="50" w:type="dxa"/>
              <w:left w:w="0" w:type="dxa"/>
              <w:bottom w:w="60" w:type="dxa"/>
              <w:right w:w="90" w:type="dxa"/>
            </w:tcMar>
          </w:tcPr>
          <w:p>
            <w:pPr>
              <w:spacing w:before="0" w:after="0" w:line="252" w:lineRule="auto"/>
            </w:pPr>
            <w:r>
              <w:rPr>
                <w:rFonts w:ascii="Calibri" w:hAnsi="Calibri"/>
                <w:sz w:val="19"/>
              </w:rPr>
              <w:t>4F Flagged</w:t>
            </w:r>
          </w:p>
        </w:tc>
        <w:tc>
          <w:tcPr>
            <w:tcW w:type="dxa" w:w="7958"/>
            <w:tcMar>
              <w:top w:w="50" w:type="dxa"/>
              <w:left w:w="90" w:type="dxa"/>
              <w:bottom w:w="60" w:type="dxa"/>
              <w:right w:w="90" w:type="dxa"/>
            </w:tcMar>
          </w:tcPr>
          <w:p>
            <w:pPr>
              <w:spacing w:before="0" w:after="0" w:line="252" w:lineRule="auto"/>
            </w:pPr>
            <w:r>
              <w:rPr>
                <w:rFonts w:ascii="Calibri" w:hAnsi="Calibri"/>
                <w:sz w:val="19"/>
              </w:rPr>
              <w:t>Key: keep drafts, notes, version history; ask for the evidence; use the college process; do not accuse the instructor; [ACADEMIC INTEGRITY OFFICE] and [STUDENT ADVOCATE OR OMBUDS]. Detectors can be wrong [VERIFY].</w:t>
            </w:r>
          </w:p>
        </w:tc>
      </w:tr>
    </w:tbl>
    <w:p>
      <w:pPr>
        <w:spacing w:before="0" w:after="0" w:line="160" w:lineRule="exact"/>
      </w:pPr>
      <w:r>
        <w:rPr>
          <w:sz w:val="2"/>
        </w:rPr>
      </w:r>
    </w:p>
    <w:p>
      <w:pPr>
        <w:pStyle w:val="Heading2"/>
        <w:pBdr>
          <w:top w:val="single" w:sz="18" w:space="6" w:color="FF8A3D"/>
        </w:pBdr>
        <w:spacing w:before="320"/>
      </w:pPr>
      <w:r>
        <w:rPr/>
        <w:t>Discussion (8 minutes)</w:t>
      </w:r>
    </w:p>
    <w:p>
      <w:pPr>
        <w:pStyle w:val="ListBullet"/>
      </w:pPr>
      <w:r>
        <w:rPr/>
        <w:t>Which of the four verification habits do you already use? Which would feel awkward?</w:t>
      </w:r>
    </w:p>
    <w:p>
      <w:pPr>
        <w:pStyle w:val="ListBullet"/>
      </w:pPr>
      <w:r>
        <w:rPr/>
        <w:t>Who in your life would you set a code word with, and what makes it hard to bring up?</w:t>
      </w:r>
    </w:p>
    <w:p>
      <w:pPr>
        <w:pStyle w:val="ListBullet"/>
      </w:pPr>
      <w:r>
        <w:rPr/>
        <w:t>What did you notice about how the course policies in your syllabi differ? Where do you find the answer when it is not clear?</w:t>
      </w:r>
    </w:p>
    <w:p>
      <w:pPr>
        <w:pStyle w:val="ListBullet"/>
      </w:pPr>
      <w:r>
        <w:rPr/>
        <w:t>How could the college make the AI rules clearer for students?</w:t>
      </w:r>
    </w:p>
    <w:p>
      <w:pPr>
        <w:pStyle w:val="Heading2"/>
        <w:pBdr>
          <w:top w:val="single" w:sz="18" w:space="6" w:color="FF8A3D"/>
        </w:pBdr>
        <w:spacing w:before="320"/>
      </w:pPr>
      <w:r>
        <w:rPr/>
        <w:t>Takeaway (read aloud, then hand out the evaluation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You do not have to be a detective. When media or a message pushes you to act, check the source, find a second source, contact the person on a known channel, and slow down. On coursework, read the policy, ask in writing and keep your drafts.</w:t>
            </w:r>
          </w:p>
        </w:tc>
      </w:tr>
    </w:tbl>
    <w:p>
      <w:pPr>
        <w:spacing w:before="0" w:after="0" w:line="160" w:lineRule="exact"/>
      </w:pPr>
      <w:r>
        <w:rPr>
          <w:sz w:val="2"/>
        </w:rPr>
      </w:r>
    </w:p>
    <w:p>
      <w:pPr>
        <w:pStyle w:val="Heading2"/>
        <w:pBdr>
          <w:top w:val="single" w:sz="18" w:space="6" w:color="FF8A3D"/>
        </w:pBdr>
        <w:spacing w:before="320"/>
      </w:pPr>
      <w:r>
        <w:rPr/>
        <w:t>If a student discloses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Never promise confidentiality you cannot give.</w:t>
            </w:r>
            <w:r>
              <w:rPr>
                <w:sz w:val="19"/>
              </w:rPr>
              <w:t xml:space="preserve"> Title IX responsible-employee duties and campus reporting rules vary by institution and role [COUNSEL TO CONFIRM; VERIFY current federal rules and state law]. Before the session, find out which category you are in, and say so to students.</w:t>
            </w:r>
          </w:p>
        </w:tc>
      </w:tr>
    </w:tbl>
    <w:p>
      <w:pPr>
        <w:spacing w:before="0" w:after="0" w:line="160" w:lineRule="exact"/>
      </w:pPr>
      <w:r>
        <w:rPr>
          <w:sz w:val="2"/>
        </w:rPr>
      </w:r>
    </w:p>
    <w:p>
      <w:r>
        <w:rPr/>
        <w:t>Master steps (the same in every session):</w:t>
      </w:r>
    </w:p>
    <w:p>
      <w:pPr>
        <w:spacing w:before="0" w:after="60"/>
        <w:ind w:left="504" w:hanging="360"/>
      </w:pPr>
      <w:r>
        <w:rPr>
          <w:b/>
          <w:color w:val="2F6F73"/>
        </w:rPr>
        <w:t xml:space="preserve">1. </w:t>
      </w:r>
      <w:r>
        <w:rPr>
          <w:b/>
        </w:rPr>
        <w:t>Say the heads-up first.</w:t>
      </w:r>
      <w:r>
        <w:rPr/>
        <w:t xml:space="preserve"> If a student starts to tell you something personal, pause them kindly before the details: "Thank you. Before you go on, I want you to know what I can and cannot keep private. [As a staff member I may have to share some of this with the Title IX office. COUNSEL TO CONFIRM your role.] If you would rather talk with someone who can keep it confidential, I can walk you to [COUNSELING CENTER]." Then let the student choose.</w:t>
      </w:r>
    </w:p>
    <w:p>
      <w:pPr>
        <w:spacing w:before="0" w:after="60"/>
        <w:ind w:left="504" w:hanging="360"/>
      </w:pPr>
      <w:r>
        <w:rPr>
          <w:b/>
          <w:color w:val="2F6F73"/>
        </w:rPr>
        <w:t xml:space="preserve">1. </w:t>
      </w:r>
      <w:r>
        <w:rPr>
          <w:b/>
        </w:rPr>
        <w:t>Listen and believe.</w:t>
      </w:r>
      <w:r>
        <w:rPr/>
        <w:t xml:space="preserve"> Stay calm. "Thank you for telling me. This is not your fault." Skip the "why" questions. Let the student use their own words.</w:t>
      </w:r>
    </w:p>
    <w:p>
      <w:pPr>
        <w:spacing w:before="0" w:after="60"/>
        <w:ind w:left="504" w:hanging="360"/>
      </w:pPr>
      <w:r>
        <w:rPr>
          <w:b/>
          <w:color w:val="2F6F73"/>
        </w:rPr>
        <w:t xml:space="preserve">1. </w:t>
      </w:r>
      <w:r>
        <w:rPr>
          <w:b/>
        </w:rPr>
        <w:t>Do not investigate.</w:t>
      </w:r>
      <w:r>
        <w:rPr/>
        <w:t xml:space="preserve"> Ask only what you need to connect them with help: are you safe right now, and what would help most today? Never ask to see images, messages or accounts. Do not contact the other person.</w:t>
      </w:r>
    </w:p>
    <w:p>
      <w:pPr>
        <w:spacing w:before="0" w:after="60"/>
        <w:ind w:left="504" w:hanging="360"/>
      </w:pPr>
      <w:r>
        <w:rPr>
          <w:b/>
          <w:color w:val="2F6F73"/>
        </w:rPr>
        <w:t xml:space="preserve">1. </w:t>
      </w:r>
      <w:r>
        <w:rPr>
          <w:b/>
        </w:rPr>
        <w:t>Never promise confidentiality or outcomes you cannot give.</w:t>
      </w:r>
      <w:r>
        <w:rPr/>
        <w:t xml:space="preserve"> Say what you will do and who you will tell. Responsible-employee duties under Title IX and campus policy vary by institution and role [COUNSEL TO CONFIRM; VERIFY current federal rules and your state law].</w:t>
      </w:r>
    </w:p>
    <w:p>
      <w:pPr>
        <w:spacing w:before="0" w:after="60"/>
        <w:ind w:left="504" w:hanging="360"/>
      </w:pPr>
      <w:r>
        <w:rPr>
          <w:b/>
          <w:color w:val="2F6F73"/>
        </w:rPr>
        <w:t xml:space="preserve">1. </w:t>
      </w:r>
      <w:r>
        <w:rPr>
          <w:b/>
        </w:rPr>
        <w:t>Offer choices.</w:t>
      </w:r>
      <w:r>
        <w:rPr/>
        <w:t xml:space="preserve"> Counseling, a victim advocate, the Title IX office, campus police, the platform's report form, or none of these today. The student decides what to do next whenever the law and policy allow.</w:t>
      </w:r>
    </w:p>
    <w:p>
      <w:pPr>
        <w:spacing w:before="0" w:after="60"/>
        <w:ind w:left="504" w:hanging="360"/>
      </w:pPr>
      <w:r>
        <w:rPr>
          <w:b/>
          <w:color w:val="2F6F73"/>
        </w:rPr>
        <w:t xml:space="preserve">1. </w:t>
      </w:r>
      <w:r>
        <w:rPr>
          <w:b/>
        </w:rPr>
        <w:t>Make a warm handoff.</w:t>
      </w:r>
      <w:r>
        <w:rPr/>
        <w:t xml:space="preserve"> Offer to walk with them, sit beside them during the call, or help write the email. A phone number on a card is a weaker handoff than a person.</w:t>
      </w:r>
    </w:p>
    <w:p>
      <w:pPr>
        <w:spacing w:before="0" w:after="60"/>
        <w:ind w:left="504" w:hanging="360"/>
      </w:pPr>
      <w:r>
        <w:rPr>
          <w:b/>
          <w:color w:val="2F6F73"/>
        </w:rPr>
        <w:t xml:space="preserve">1. </w:t>
      </w:r>
      <w:r>
        <w:rPr>
          <w:b/>
        </w:rPr>
        <w:t>Safety first.</w:t>
      </w:r>
      <w:r>
        <w:rPr/>
        <w:t xml:space="preserve"> Immediate danger: 911 or campus police. Thoughts of suicide or self-harm: stay with the student, bring in the counseling center or a crisis line, and use 988 (call or text 988) or Crisis Text Line (text HOME to 741741).</w:t>
      </w:r>
    </w:p>
    <w:p>
      <w:pPr>
        <w:spacing w:before="0" w:after="60"/>
        <w:ind w:left="504" w:hanging="360"/>
      </w:pPr>
      <w:r>
        <w:rPr>
          <w:b/>
          <w:color w:val="2F6F73"/>
        </w:rPr>
        <w:t xml:space="preserve">1. </w:t>
      </w:r>
      <w:r>
        <w:rPr>
          <w:b/>
        </w:rPr>
        <w:t>If a minor is involved</w:t>
      </w:r>
      <w:r>
        <w:rPr/>
        <w:t xml:space="preserve"> (an image of someone under 18, or a child at risk), reporting duties may apply to you as an adult, and they differ by state and role [COUNSEL TO CONFIRM; VERIFY state law]. Do not copy, forward or screenshot such an image. Direct the student to NCMEC's CyberTipline and Take It Down.</w:t>
      </w:r>
    </w:p>
    <w:p>
      <w:pPr>
        <w:spacing w:before="0" w:after="60"/>
        <w:ind w:left="504" w:hanging="360"/>
      </w:pPr>
      <w:r>
        <w:rPr>
          <w:b/>
          <w:color w:val="2F6F73"/>
        </w:rPr>
        <w:t xml:space="preserve">1. </w:t>
      </w:r>
      <w:r>
        <w:rPr>
          <w:b/>
        </w:rPr>
        <w:t>Write it down afterward.</w:t>
      </w:r>
      <w:r>
        <w:rPr/>
        <w:t xml:space="preserve"> Record the student's words and what you said and did, as your policy requires. Share with others only on a need-to-know basis. Talk with your supervisor about what you heard so you are not carrying it alone.</w:t>
      </w:r>
    </w:p>
    <w:p>
      <w:r>
        <w:rPr>
          <w:b/>
        </w:rPr>
        <w:t>Specific to this session:</w:t>
      </w:r>
    </w:p>
    <w:p>
      <w:pPr>
        <w:pStyle w:val="ListBullet"/>
      </w:pPr>
      <w:r>
        <w:rPr/>
        <w:t>A student may disclose that a fake or altered image of them is circulating, or that they were accused of cheating. Treat the first as image-based abuse (Session 5 protocol, including the heads-up on reporting duties) and the second as a process question to [ACADEMIC INTEGRITY OFFICE] with support from [DEAN OF STUDENTS].</w:t>
      </w:r>
    </w:p>
    <w:p>
      <w:pPr>
        <w:pStyle w:val="ListBullet"/>
      </w:pPr>
      <w:r>
        <w:rPr/>
        <w:t>If a student describes being pressured to send money to a relative, who may be a cloned voice, apply the Session 1 first-hour list.</w:t>
      </w:r>
    </w:p>
    <w:p>
      <w:pPr>
        <w:pStyle w:val="ListBullet"/>
      </w:pPr>
      <w:r>
        <w:rPr/>
        <w:t>If a student says someone is using a fake or edited image to threaten them, do not ask to see it. Move to Session 5.</w:t>
      </w:r>
    </w:p>
    <w:p>
      <w:pPr>
        <w:pStyle w:val="Heading2"/>
        <w:pBdr>
          <w:top w:val="single" w:sz="18" w:space="6" w:color="FF8A3D"/>
        </w:pBdr>
        <w:spacing w:before="320"/>
      </w:pPr>
      <w:r>
        <w:rPr/>
        <w:t>Accessibility and inclusion notes</w:t>
      </w:r>
    </w:p>
    <w:p>
      <w:r>
        <w:rPr>
          <w:b/>
        </w:rPr>
        <w:t>For this session:</w:t>
      </w:r>
    </w:p>
    <w:p>
      <w:pPr>
        <w:pStyle w:val="ListBullet"/>
      </w:pPr>
      <w:r>
        <w:rPr/>
        <w:t>Written scenario cards avoid audio for students who are deaf or hard of hearing. For hearing students with auditory processing differences, a text version is available.</w:t>
      </w:r>
    </w:p>
    <w:p>
      <w:pPr>
        <w:pStyle w:val="ListBullet"/>
      </w:pPr>
      <w:r>
        <w:rPr/>
        <w:t>Students who are multilingual may find AI policy language confusing. Offer plain-language summaries and a short list of the questions to ask an instructor.</w:t>
      </w:r>
    </w:p>
    <w:p>
      <w:pPr>
        <w:pStyle w:val="ListBullet"/>
      </w:pPr>
      <w:r>
        <w:rPr/>
        <w:t>Students who rely on assistive tools should not be made to feel suspected. State the difference between assistive technology and text generators clearly.</w:t>
      </w:r>
    </w:p>
    <w:p>
      <w:r>
        <w:rPr>
          <w:b/>
        </w:rPr>
        <w:t>For every session:</w:t>
      </w:r>
    </w:p>
    <w:p>
      <w:pPr>
        <w:pStyle w:val="ListBullet"/>
      </w:pPr>
      <w:r>
        <w:rPr>
          <w:b/>
        </w:rPr>
        <w:t>International students.</w:t>
      </w:r>
      <w:r>
        <w:rPr/>
        <w:t xml:space="preserve"> Scam scripts, institutions and legal systems differ by country, and some scams exploit visa fears. Say plainly that a real college or government office will not demand payment in gift cards, and point to the international student office as a place to check any message about status. Use plain English, avoid idioms, share slides ahead of time, and let students use a translation tool during activities. [COUNSEL TO CONFIRM: any reporting duties that apply to international students' status information; do not speculate about immigration consequences in class.]</w:t>
      </w:r>
    </w:p>
    <w:p>
      <w:pPr>
        <w:pStyle w:val="ListBullet"/>
      </w:pPr>
      <w:r>
        <w:rPr>
          <w:b/>
        </w:rPr>
        <w:t>Students with disabilities.</w:t>
      </w:r>
      <w:r>
        <w:rPr/>
        <w:t xml:space="preserve"> Send slides and cards in advance in accessible formats (the decks are built with real slide titles, reading order and speaker notes). Use captions for any video. Read cards aloud for anyone who wants that. Allow extra time. Disability services can advise on assistive technology. Do not require anyone to speak, write by hand or move around the room.</w:t>
      </w:r>
    </w:p>
    <w:p>
      <w:pPr>
        <w:pStyle w:val="ListBullet"/>
      </w:pPr>
      <w:r>
        <w:rPr>
          <w:b/>
        </w:rPr>
        <w:t>First-generation students.</w:t>
      </w:r>
      <w:r>
        <w:rPr/>
        <w:t xml:space="preserve"> Do not assume anyone knows how financial aid, housing contracts or campus offices work. Name the real office and what it does. Describe the normal process before you describe the scam version of it.</w:t>
      </w:r>
    </w:p>
    <w:p>
      <w:pPr>
        <w:pStyle w:val="ListBullet"/>
      </w:pPr>
      <w:r>
        <w:rPr>
          <w:b/>
        </w:rPr>
        <w:t>Students who are parents or caregivers.</w:t>
      </w:r>
      <w:r>
        <w:rPr/>
        <w:t xml:space="preserve"> Evening and commuter schedules often mean children in the background or a short window to attend. Allow children in the room for lecture portions where the content suits it, and offer the printed cards for take-home. Examples that involve a child's photos or school should be framed around the adult's choices.</w:t>
      </w:r>
    </w:p>
    <w:p>
      <w:pPr>
        <w:pStyle w:val="ListBullet"/>
      </w:pPr>
      <w:r>
        <w:rPr>
          <w:b/>
        </w:rPr>
        <w:t>Commuter and evening students.</w:t>
      </w:r>
      <w:r>
        <w:rPr/>
        <w:t xml:space="preserve"> Offer a recorded or self-paced version of the same content with the same cards [LOCAL: confirm your platform's accessibility and privacy settings]. Keep sessions on time. Provide the handouts as one page so they fit a bag or a phone screen.</w:t>
      </w:r>
    </w:p>
    <w:p>
      <w:pPr>
        <w:pStyle w:val="ListBullet"/>
      </w:pPr>
      <w:r>
        <w:rPr>
          <w:b/>
        </w:rPr>
        <w:t>Everyone.</w:t>
      </w:r>
      <w:r>
        <w:rPr/>
        <w:t xml:space="preserve"> Participation is always optional. Offer a Pass card, a written question box, and a clear way to step out and return. Use content notes before heavy material, and show no images of the harms discussed.</w:t>
      </w:r>
    </w:p>
    <w:p>
      <w:pPr>
        <w:pStyle w:val="Heading2"/>
        <w:pBdr>
          <w:top w:val="single" w:sz="18" w:space="6" w:color="FF8A3D"/>
        </w:pBdr>
        <w:spacing w:before="320"/>
      </w:pPr>
      <w:r>
        <w:rPr/>
        <w:t>Local resource table (fill in before the session)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17"/>
        <w:gridCol w:w="3733"/>
        <w:gridCol w:w="3242"/>
      </w:tblGrid>
      <w:tr>
        <w:trPr>
          <w:tblHeader/>
          <w:cantSplit/>
        </w:trPr>
        <w:tc>
          <w:tcPr>
            <w:tcW w:type="dxa" w:w="28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3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3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3733"/>
            <w:tcMar>
              <w:top w:w="50" w:type="dxa"/>
              <w:left w:w="90" w:type="dxa"/>
              <w:bottom w:w="60" w:type="dxa"/>
              <w:right w:w="90" w:type="dxa"/>
            </w:tcMar>
          </w:tcPr>
          <w:p>
            <w:pPr>
              <w:spacing w:before="0" w:after="0" w:line="252" w:lineRule="auto"/>
            </w:pPr>
            <w:r>
              <w:rPr>
                <w:rFonts w:ascii="Calibri" w:hAnsi="Calibri"/>
                <w:sz w:val="19"/>
              </w:rPr>
              <w:t>911, or [CAMPUS POLICE 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police, non-emergency</w:t>
            </w:r>
          </w:p>
        </w:tc>
        <w:tc>
          <w:tcPr>
            <w:tcW w:type="dxa" w:w="3733"/>
            <w:tcMar>
              <w:top w:w="50" w:type="dxa"/>
              <w:left w:w="90" w:type="dxa"/>
              <w:bottom w:w="60" w:type="dxa"/>
              <w:right w:w="90" w:type="dxa"/>
            </w:tcMar>
          </w:tcPr>
          <w:p>
            <w:pPr>
              <w:spacing w:before="0" w:after="0" w:line="252" w:lineRule="auto"/>
            </w:pPr>
            <w:r>
              <w:rPr>
                <w:rFonts w:ascii="Calibri" w:hAnsi="Calibri"/>
                <w:sz w:val="19"/>
              </w:rPr>
              <w:t>[CAMPUS POLICE NON-EMERGENCY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counseling center</w:t>
            </w:r>
          </w:p>
        </w:tc>
        <w:tc>
          <w:tcPr>
            <w:tcW w:type="dxa" w:w="3733"/>
            <w:tcMar>
              <w:top w:w="50" w:type="dxa"/>
              <w:left w:w="90" w:type="dxa"/>
              <w:bottom w:w="60" w:type="dxa"/>
              <w:right w:w="90" w:type="dxa"/>
            </w:tcMar>
          </w:tcPr>
          <w:p>
            <w:pPr>
              <w:spacing w:before="0" w:after="0" w:line="252" w:lineRule="auto"/>
            </w:pPr>
            <w:r>
              <w:rPr>
                <w:rFonts w:ascii="Calibri" w:hAnsi="Calibri"/>
                <w:sz w:val="19"/>
              </w:rPr>
              <w:t>[COUNSELING CENTER NAME, PHONE, LOCATION, HOURS] [COUNSEL TO CONFIRM whether it is a confidential resource]</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Title IX office</w:t>
            </w:r>
          </w:p>
        </w:tc>
        <w:tc>
          <w:tcPr>
            <w:tcW w:type="dxa" w:w="3733"/>
            <w:tcMar>
              <w:top w:w="50" w:type="dxa"/>
              <w:left w:w="90" w:type="dxa"/>
              <w:bottom w:w="60" w:type="dxa"/>
              <w:right w:w="90" w:type="dxa"/>
            </w:tcMar>
          </w:tcPr>
          <w:p>
            <w:pPr>
              <w:spacing w:before="0" w:after="0" w:line="252" w:lineRule="auto"/>
            </w:pPr>
            <w:r>
              <w:rPr>
                <w:rFonts w:ascii="Calibri" w:hAnsi="Calibri"/>
                <w:sz w:val="19"/>
              </w:rPr>
              <w:t>[TITLE IX COORDINATOR NAME, EMAIL, PHONE] [COUNSEL TO CONFIRM how reports are handled]</w:t>
            </w:r>
          </w:p>
        </w:tc>
        <w:tc>
          <w:tcPr>
            <w:tcW w:type="dxa" w:w="3242"/>
            <w:tcMar>
              <w:top w:w="50" w:type="dxa"/>
              <w:left w:w="90" w:type="dxa"/>
              <w:bottom w:w="60" w:type="dxa"/>
              <w:right w:w="90" w:type="dxa"/>
            </w:tcMar>
          </w:tcPr>
          <w:p>
            <w:pPr>
              <w:spacing w:before="0" w:after="0" w:line="252" w:lineRule="auto"/>
            </w:pPr>
            <w:r>
              <w:rPr>
                <w:rFonts w:ascii="Calibri" w:hAnsi="Calibri"/>
                <w:sz w:val="19"/>
              </w:rPr>
              <w:t>Email or 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Dean of students or student affairs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Financial aid and bursar</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 or call the number on the college website</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IT help desk and security</w:t>
            </w:r>
          </w:p>
        </w:tc>
        <w:tc>
          <w:tcPr>
            <w:tcW w:type="dxa" w:w="3733"/>
            <w:tcMar>
              <w:top w:w="50" w:type="dxa"/>
              <w:left w:w="90" w:type="dxa"/>
              <w:bottom w:w="60" w:type="dxa"/>
              <w:right w:w="90" w:type="dxa"/>
            </w:tcMar>
          </w:tcPr>
          <w:p>
            <w:pPr>
              <w:spacing w:before="0" w:after="0" w:line="252" w:lineRule="auto"/>
            </w:pPr>
            <w:r>
              <w:rPr>
                <w:rFonts w:ascii="Calibri" w:hAnsi="Calibri"/>
                <w:sz w:val="19"/>
              </w:rPr>
              <w:t>[HELP DESK PHONE, EMAIL, LOCATION]</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International student office</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Disability services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Health center or victim advocate</w:t>
            </w:r>
          </w:p>
        </w:tc>
        <w:tc>
          <w:tcPr>
            <w:tcW w:type="dxa" w:w="3733"/>
            <w:tcMar>
              <w:top w:w="50" w:type="dxa"/>
              <w:left w:w="90" w:type="dxa"/>
              <w:bottom w:w="60" w:type="dxa"/>
              <w:right w:w="90" w:type="dxa"/>
            </w:tcMar>
          </w:tcPr>
          <w:p>
            <w:pPr>
              <w:spacing w:before="0" w:after="0" w:line="252" w:lineRule="auto"/>
            </w:pPr>
            <w:r>
              <w:rPr>
                <w:rFonts w:ascii="Calibri" w:hAnsi="Calibri"/>
                <w:sz w:val="19"/>
              </w:rPr>
              <w:t>[NAME, PHONE] [COUNSEL TO CONFIRM confidentiality]</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Suicide or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988 Suicide and Crisis Lifeline</w:t>
            </w:r>
          </w:p>
        </w:tc>
        <w:tc>
          <w:tcPr>
            <w:tcW w:type="dxa" w:w="3242"/>
            <w:tcMar>
              <w:top w:w="50" w:type="dxa"/>
              <w:left w:w="90" w:type="dxa"/>
              <w:bottom w:w="60" w:type="dxa"/>
              <w:right w:w="90" w:type="dxa"/>
            </w:tcMar>
          </w:tcPr>
          <w:p>
            <w:pPr>
              <w:spacing w:before="0" w:after="0" w:line="252" w:lineRule="auto"/>
            </w:pPr>
            <w:r>
              <w:rPr>
                <w:rFonts w:ascii="Calibri" w:hAnsi="Calibri"/>
                <w:sz w:val="19"/>
              </w:rPr>
              <w:t>Call or text 988; chat at 988lifeline.org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Text-based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Crisis Text Line</w:t>
            </w:r>
          </w:p>
        </w:tc>
        <w:tc>
          <w:tcPr>
            <w:tcW w:type="dxa" w:w="3242"/>
            <w:tcMar>
              <w:top w:w="50" w:type="dxa"/>
              <w:left w:w="90" w:type="dxa"/>
              <w:bottom w:w="60" w:type="dxa"/>
              <w:right w:w="90" w:type="dxa"/>
            </w:tcMar>
          </w:tcPr>
          <w:p>
            <w:pPr>
              <w:spacing w:before="0" w:after="0" w:line="252" w:lineRule="auto"/>
            </w:pPr>
            <w:r>
              <w:rPr>
                <w:rFonts w:ascii="Calibri" w:hAnsi="Calibri"/>
                <w:sz w:val="19"/>
              </w:rPr>
              <w:t>Text HOME to 741741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shared or threatened (you were 18 or older when the image was made)</w:t>
            </w:r>
          </w:p>
        </w:tc>
        <w:tc>
          <w:tcPr>
            <w:tcW w:type="dxa" w:w="3733"/>
            <w:tcMar>
              <w:top w:w="50" w:type="dxa"/>
              <w:left w:w="90" w:type="dxa"/>
              <w:bottom w:w="60" w:type="dxa"/>
              <w:right w:w="90" w:type="dxa"/>
            </w:tcMar>
          </w:tcPr>
          <w:p>
            <w:pPr>
              <w:spacing w:before="0" w:after="0" w:line="252" w:lineRule="auto"/>
            </w:pPr>
            <w:r>
              <w:rPr>
                <w:rFonts w:ascii="Calibri" w:hAnsi="Calibri"/>
                <w:sz w:val="19"/>
              </w:rPr>
              <w:t>StopNCII.org</w:t>
            </w:r>
          </w:p>
        </w:tc>
        <w:tc>
          <w:tcPr>
            <w:tcW w:type="dxa" w:w="3242"/>
            <w:tcMar>
              <w:top w:w="50" w:type="dxa"/>
              <w:left w:w="90" w:type="dxa"/>
              <w:bottom w:w="60" w:type="dxa"/>
              <w:right w:w="90" w:type="dxa"/>
            </w:tcMar>
          </w:tcPr>
          <w:p>
            <w:pPr>
              <w:spacing w:before="0" w:after="0" w:line="252" w:lineRule="auto"/>
            </w:pPr>
            <w:r>
              <w:rPr>
                <w:rFonts w:ascii="Calibri" w:hAnsi="Calibri"/>
                <w:sz w:val="19"/>
              </w:rPr>
              <w:t>stopncii.org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made when you were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Take It Down</w:t>
            </w:r>
          </w:p>
        </w:tc>
        <w:tc>
          <w:tcPr>
            <w:tcW w:type="dxa" w:w="3242"/>
            <w:tcMar>
              <w:top w:w="50" w:type="dxa"/>
              <w:left w:w="90" w:type="dxa"/>
              <w:bottom w:w="60" w:type="dxa"/>
              <w:right w:w="90" w:type="dxa"/>
            </w:tcMar>
          </w:tcPr>
          <w:p>
            <w:pPr>
              <w:spacing w:before="0" w:after="0" w:line="252" w:lineRule="auto"/>
            </w:pPr>
            <w:r>
              <w:rPr>
                <w:rFonts w:ascii="Calibri" w:hAnsi="Calibri"/>
                <w:sz w:val="19"/>
              </w:rPr>
              <w:t>takeitdown.ncmec.org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Sextortion, or any image of someone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CyberTipline</w:t>
            </w:r>
          </w:p>
        </w:tc>
        <w:tc>
          <w:tcPr>
            <w:tcW w:type="dxa" w:w="3242"/>
            <w:tcMar>
              <w:top w:w="50" w:type="dxa"/>
              <w:left w:w="90" w:type="dxa"/>
              <w:bottom w:w="60" w:type="dxa"/>
              <w:right w:w="90" w:type="dxa"/>
            </w:tcMar>
          </w:tcPr>
          <w:p>
            <w:pPr>
              <w:spacing w:before="0" w:after="0" w:line="252" w:lineRule="auto"/>
            </w:pPr>
            <w:r>
              <w:rPr>
                <w:rFonts w:ascii="Calibri" w:hAnsi="Calibri"/>
                <w:sz w:val="19"/>
              </w:rPr>
              <w:t>report.cybertip.org or 1-800-843-5678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Blackmail and internet crime</w:t>
            </w:r>
          </w:p>
        </w:tc>
        <w:tc>
          <w:tcPr>
            <w:tcW w:type="dxa" w:w="3733"/>
            <w:tcMar>
              <w:top w:w="50" w:type="dxa"/>
              <w:left w:w="90" w:type="dxa"/>
              <w:bottom w:w="60" w:type="dxa"/>
              <w:right w:w="90" w:type="dxa"/>
            </w:tcMar>
          </w:tcPr>
          <w:p>
            <w:pPr>
              <w:spacing w:before="0" w:after="0" w:line="252" w:lineRule="auto"/>
            </w:pPr>
            <w:r>
              <w:rPr>
                <w:rFonts w:ascii="Calibri" w:hAnsi="Calibri"/>
                <w:sz w:val="19"/>
              </w:rPr>
              <w:t>FBI IC3</w:t>
            </w:r>
          </w:p>
        </w:tc>
        <w:tc>
          <w:tcPr>
            <w:tcW w:type="dxa" w:w="3242"/>
            <w:tcMar>
              <w:top w:w="50" w:type="dxa"/>
              <w:left w:w="90" w:type="dxa"/>
              <w:bottom w:w="60" w:type="dxa"/>
              <w:right w:w="90" w:type="dxa"/>
            </w:tcMar>
          </w:tcPr>
          <w:p>
            <w:pPr>
              <w:spacing w:before="0" w:after="0" w:line="252" w:lineRule="auto"/>
            </w:pPr>
            <w:r>
              <w:rPr>
                <w:rFonts w:ascii="Calibri" w:hAnsi="Calibri"/>
                <w:sz w:val="19"/>
              </w:rPr>
              <w:t>ic3.gov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Scams and fraud</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reportfraud.ftc.gov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Identity theft</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identitytheft.gov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Dating abuse and controlling relationships</w:t>
            </w:r>
          </w:p>
        </w:tc>
        <w:tc>
          <w:tcPr>
            <w:tcW w:type="dxa" w:w="3733"/>
            <w:tcMar>
              <w:top w:w="50" w:type="dxa"/>
              <w:left w:w="90" w:type="dxa"/>
              <w:bottom w:w="60" w:type="dxa"/>
              <w:right w:w="90" w:type="dxa"/>
            </w:tcMar>
          </w:tcPr>
          <w:p>
            <w:pPr>
              <w:spacing w:before="0" w:after="0" w:line="252" w:lineRule="auto"/>
            </w:pPr>
            <w:r>
              <w:rPr>
                <w:rFonts w:ascii="Calibri" w:hAnsi="Calibri"/>
                <w:sz w:val="19"/>
              </w:rPr>
              <w:t>loveisrespect</w:t>
            </w:r>
          </w:p>
        </w:tc>
        <w:tc>
          <w:tcPr>
            <w:tcW w:type="dxa" w:w="3242"/>
            <w:tcMar>
              <w:top w:w="50" w:type="dxa"/>
              <w:left w:w="90" w:type="dxa"/>
              <w:bottom w:w="60" w:type="dxa"/>
              <w:right w:w="90" w:type="dxa"/>
            </w:tcMar>
          </w:tcPr>
          <w:p>
            <w:pPr>
              <w:spacing w:before="0" w:after="0" w:line="252" w:lineRule="auto"/>
            </w:pPr>
            <w:r>
              <w:rPr>
                <w:rFonts w:ascii="Calibri" w:hAnsi="Calibri"/>
                <w:sz w:val="19"/>
              </w:rPr>
              <w:t>Call 1-866-331-9474 or text LOVEIS to 22522; loveisrespect.org [VERIFY before printing]</w:t>
            </w:r>
          </w:p>
        </w:tc>
      </w:tr>
    </w:tbl>
    <w:p>
      <w:pPr>
        <w:spacing w:before="0" w:after="0" w:line="160" w:lineRule="exact"/>
      </w:pPr>
      <w:r>
        <w:rPr>
          <w:sz w:val="2"/>
        </w:rPr>
      </w:r>
    </w:p>
    <w:p>
      <w:r>
        <w:rPr/>
        <w:t>Re-verify every number and address before printing. Hotline details marked VERIFIED were checked in the Hackles verification rounds dated 2026-10-05 and should still be re-checked before any print run.</w:t>
      </w:r>
    </w:p>
    <w:p>
      <w:pPr>
        <w:pStyle w:val="Heading2"/>
        <w:pBdr>
          <w:top w:val="single" w:sz="18" w:space="6" w:color="FF8A3D"/>
        </w:pBdr>
        <w:spacing w:before="320"/>
      </w:pPr>
      <w:r>
        <w:rPr/>
        <w:t>Evaluation card (anonymous; print four per page)</w:t>
      </w:r>
    </w:p>
    <w:p>
      <w:r>
        <w:rPr>
          <w:i/>
        </w:rPr>
        <w:t>Evaluation cards are anonymous. Do not collect names, student ID numbers or email addresses. Tally counts only (for example, how many students circled each number). Aggregate results can go to your supervisor; individual cards are recycled after tallying [LOCAL: confirm records policy].</w:t>
      </w:r>
    </w:p>
    <w:p>
      <w:r>
        <w:rPr>
          <w:b/>
        </w:rPr>
        <w:t>Session 4: Synthetic media, voice cloning and AI in coursework</w:t>
      </w:r>
    </w:p>
    <w:p>
      <w:pPr>
        <w:pStyle w:val="ListBullet"/>
      </w:pPr>
      <w:r>
        <w:rPr/>
        <w:t>I feel more able to spot a problem like the ones we discussed today. (1 = not at all, 5 = very much)  1  2  3  4  5</w:t>
      </w:r>
    </w:p>
    <w:p>
      <w:pPr>
        <w:pStyle w:val="ListBullet"/>
      </w:pPr>
      <w:r>
        <w:rPr/>
        <w:t>I know where on campus I could go for help with this topic. (1 = not at all, 5 = very much)  1  2  3  4  5</w:t>
      </w:r>
    </w:p>
    <w:p>
      <w:pPr>
        <w:pStyle w:val="ListBullet"/>
      </w:pPr>
      <w:r>
        <w:rPr/>
        <w:t>My code word or call-back plan is with: ________</w:t>
      </w:r>
    </w:p>
    <w:p>
      <w:pPr>
        <w:pStyle w:val="ListBullet"/>
      </w:pPr>
      <w:r>
        <w:rPr/>
        <w:t>What would make this session better?</w:t>
      </w:r>
    </w:p>
    <w:p>
      <w:pPr>
        <w:pStyle w:val="ListBullet"/>
      </w:pPr>
      <w:r>
        <w:rPr/>
        <w:t>Anything you want the facilitator to know? (Do not include names or personal details.)</w:t>
      </w:r>
    </w:p>
    <w:p>
      <w:pPr>
        <w:pStyle w:val="Heading2"/>
        <w:pBdr>
          <w:top w:val="single" w:sz="18" w:space="6" w:color="FF8A3D"/>
        </w:pBdr>
        <w:spacing w:before="320"/>
      </w:pPr>
      <w:r>
        <w:rPr/>
        <w:t>Facilitator reflection (after the session, for your own notes)</w:t>
      </w:r>
    </w:p>
    <w:p>
      <w:pPr>
        <w:pStyle w:val="ListBullet"/>
      </w:pPr>
      <w:r>
        <w:rPr/>
        <w:t>What went well? What would I change in the timing?</w:t>
      </w:r>
    </w:p>
    <w:p>
      <w:pPr>
        <w:pStyle w:val="ListBullet"/>
      </w:pPr>
      <w:r>
        <w:rPr/>
        <w:t>Which card sparked the best discussion?</w:t>
      </w:r>
    </w:p>
    <w:p>
      <w:pPr>
        <w:pStyle w:val="ListBullet"/>
      </w:pPr>
      <w:r>
        <w:rPr/>
        <w:t>Did a student disclose? Did I follow the protocol and write it down? Who did I debrief with?</w:t>
      </w:r>
    </w:p>
    <w:p>
      <w:pPr>
        <w:pStyle w:val="ListBullet"/>
      </w:pPr>
      <w:r>
        <w:rPr/>
        <w:t>Which local blanks still need filling in?</w:t>
      </w:r>
    </w:p>
    <w:p>
      <w:pPr>
        <w:pStyle w:val="Heading2"/>
        <w:pBdr>
          <w:top w:val="single" w:sz="18" w:space="6" w:color="FF8A3D"/>
        </w:pBdr>
        <w:spacing w:before="320"/>
      </w:pPr>
      <w:r>
        <w:rPr/>
        <w:t>Sources and verification notes</w:t>
      </w:r>
    </w:p>
    <w:p>
      <w:pPr>
        <w:pStyle w:val="ListBullet"/>
      </w:pPr>
      <w:r>
        <w:rPr/>
        <w:t>Capabilities of voice cloning and synthetic media. [VERIFY]</w:t>
      </w:r>
    </w:p>
    <w:p>
      <w:pPr>
        <w:pStyle w:val="ListBullet"/>
      </w:pPr>
      <w:r>
        <w:rPr/>
        <w:t>Provenance labels and watermarks. [VERIFY]</w:t>
      </w:r>
    </w:p>
    <w:p>
      <w:pPr>
        <w:pStyle w:val="ListBullet"/>
      </w:pPr>
      <w:r>
        <w:rPr/>
        <w:t>Accuracy of AI-text and image detectors, including bias against non-native writers. [VERIFY]</w:t>
      </w:r>
    </w:p>
    <w:p>
      <w:pPr>
        <w:pStyle w:val="ListBullet"/>
      </w:pPr>
      <w:r>
        <w:rPr/>
        <w:t>Company data policies for pasted text. [VERIFY]</w:t>
      </w:r>
    </w:p>
    <w:p>
      <w:pPr>
        <w:pStyle w:val="ListBullet"/>
      </w:pPr>
      <w:r>
        <w:rPr/>
        <w:t>State deepfake laws and college policy. [VERIFY; COUNSEL TO CONFIRM]</w:t>
      </w:r>
    </w:p>
    <w:p>
      <w:pPr>
        <w:pStyle w:val="ListBullet"/>
      </w:pPr>
      <w:r>
        <w:rPr/>
        <w:t>StopNCII coverage of AI-generated images. [VERIFY]</w:t>
      </w:r>
    </w:p>
    <w:p>
      <w:pPr>
        <w:pStyle w:val="ListBullet"/>
      </w:pPr>
      <w:r>
        <w:rPr/>
        <w:t xml:space="preserve">Hotline and reporting details are taken from the kit's </w:t>
      </w:r>
      <w:r>
        <w:rPr>
          <w:rFonts w:ascii="Consolas" w:hAnsi="Consolas"/>
          <w:color w:val="A8400A"/>
        </w:rPr>
        <w:t>VERIFY_Checklist</w:t>
      </w:r>
      <w:r>
        <w:rPr/>
        <w:t xml:space="preserve"> and the 9-12 Teacher Guide appendix C1. Re-check before printing.</w:t>
      </w:r>
    </w:p>
    <w:p>
      <w:pPr>
        <w:pStyle w:val="ListBullet"/>
      </w:pPr>
      <w:r>
        <w:rPr/>
        <w:t>Hackles has not been evaluated in a controlled study. It does not replace campus counseling, Title IX processes, legal advice or emergency services.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DIGITAL SAFETY FOR COLLEGE STUDENTS · SESSION 4: I...</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Safety for College Students · Session 4: Is It Real? Synthetic Media, Voice Clones and Generative AI at School</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