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Mentors · Program Charter, Roles and Eligibility</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quillsup.org · October 2026</w:t>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Hackles · Trust your hackles. Pause · Check · Tell.</w:t>
      </w:r>
      <w:r>
        <w:rPr/>
        <w:t xml:space="preserve"> A free kit by Competence Collective · competencecollective.org · quillsup.org. Hackles College Edition, Part B (2).</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 for college review.</w:t>
            </w:r>
            <w:r>
              <w:rPr>
                <w:sz w:val="19"/>
              </w:rPr>
              <w:t xml:space="preserve"> Blanks in [BRACKETS] are local. [COUNSEL/HR TO CONFIRM] marks screening, supervision, liability, employment and minors-contact points that your general counsel, human resources office and risk management must review before the program starts. [VERIFY] marks a fact to check against a source. Nothing in this document is legal advice. </w:t>
            </w:r>
            <w:r>
              <w:rPr>
                <w:b/>
                <w:sz w:val="19"/>
              </w:rPr>
              <w:t>Do not place a mentor with children until the review gates in Section 10 are passed.</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Purpose</w:t>
      </w:r>
    </w:p>
    <w:p>
      <w:r>
        <w:rPr/>
        <w:t xml:space="preserve">Hackles Mentors is a service-learning and volunteer program of [COLLEGE NAME]. It trains college students to support teachers at Hackles Days, library programs and classroom visits that teach children and teens the Hackles routine: </w:t>
      </w:r>
      <w:r>
        <w:rPr>
          <w:b/>
        </w:rPr>
        <w:t>Hackles up? Pause. Check. Tell.</w:t>
      </w:r>
    </w:p>
    <w:p>
      <w:r>
        <w:rPr/>
        <w:t>It serves three goals at once. Local schools and libraries get trained, screened helpers and visible role models. College students practice teaching, leadership and professional boundaries and earn recognized service hours. The college builds a respectful, useful relationship with its community.</w:t>
      </w:r>
    </w:p>
    <w:p>
      <w:r>
        <w:rPr/>
        <w:t>The program works only when a school or library invites it and applies its own policies. The host's teacher leads every session. Mentors support.</w:t>
      </w:r>
    </w:p>
    <w:p>
      <w:pPr>
        <w:pStyle w:val="Heading2"/>
        <w:pBdr>
          <w:top w:val="single" w:sz="18" w:space="6" w:color="FF8A3D"/>
        </w:pBdr>
        <w:spacing w:before="320"/>
      </w:pPr>
      <w:r>
        <w:rPr>
          <w:rFonts w:ascii="Courier New" w:hAnsi="Courier New"/>
          <w:b w:val="0"/>
          <w:color w:val="A8400A"/>
          <w:sz w:val="20"/>
        </w:rPr>
        <w:t xml:space="preserve">02  </w:t>
      </w:r>
      <w:r>
        <w:rPr/>
        <w:t>Who is it for</w:t>
      </w:r>
    </w:p>
    <w:p>
      <w:r>
        <w:rPr/>
        <w:t>Open to every enrolled student who meets Section 5. These majors and clubs often find a natural fit, and no major is required: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85"/>
        <w:gridCol w:w="6107"/>
      </w:tblGrid>
      <w:tr>
        <w:trPr>
          <w:tblHeader/>
          <w:cantSplit/>
        </w:trPr>
        <w:tc>
          <w:tcPr>
            <w:tcW w:type="dxa" w:w="36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GROUP</w:t>
            </w:r>
          </w:p>
        </w:tc>
        <w:tc>
          <w:tcPr>
            <w:tcW w:type="dxa" w:w="61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THEY BRING</w:t>
            </w:r>
          </w:p>
        </w:tc>
      </w:tr>
      <w:tr>
        <w:trPr>
          <w:cantSplit/>
        </w:trPr>
        <w:tc>
          <w:tcPr>
            <w:tcW w:type="dxa" w:w="3685"/>
            <w:tcMar>
              <w:top w:w="50" w:type="dxa"/>
              <w:left w:w="0" w:type="dxa"/>
              <w:bottom w:w="60" w:type="dxa"/>
              <w:right w:w="90" w:type="dxa"/>
            </w:tcMar>
          </w:tcPr>
          <w:p>
            <w:pPr>
              <w:spacing w:before="0" w:after="0" w:line="252" w:lineRule="auto"/>
            </w:pPr>
            <w:r>
              <w:rPr>
                <w:rFonts w:ascii="Calibri" w:hAnsi="Calibri"/>
                <w:sz w:val="19"/>
              </w:rPr>
              <w:t>Cybersecurity, IT and computer science</w:t>
            </w:r>
          </w:p>
        </w:tc>
        <w:tc>
          <w:tcPr>
            <w:tcW w:type="dxa" w:w="6107"/>
            <w:tcMar>
              <w:top w:w="50" w:type="dxa"/>
              <w:left w:w="90" w:type="dxa"/>
              <w:bottom w:w="60" w:type="dxa"/>
              <w:right w:w="90" w:type="dxa"/>
            </w:tcMar>
          </w:tcPr>
          <w:p>
            <w:pPr>
              <w:spacing w:before="0" w:after="0" w:line="252" w:lineRule="auto"/>
            </w:pPr>
            <w:r>
              <w:rPr>
                <w:rFonts w:ascii="Calibri" w:hAnsi="Calibri"/>
                <w:sz w:val="19"/>
              </w:rPr>
              <w:t>Defence-only technical examples, passphrase and phishing stations</w:t>
            </w:r>
          </w:p>
        </w:tc>
      </w:tr>
      <w:tr>
        <w:trPr>
          <w:cantSplit/>
        </w:trPr>
        <w:tc>
          <w:tcPr>
            <w:tcW w:type="dxa" w:w="3685"/>
            <w:tcMar>
              <w:top w:w="50" w:type="dxa"/>
              <w:left w:w="0" w:type="dxa"/>
              <w:bottom w:w="60" w:type="dxa"/>
              <w:right w:w="90" w:type="dxa"/>
            </w:tcMar>
          </w:tcPr>
          <w:p>
            <w:pPr>
              <w:spacing w:before="0" w:after="0" w:line="252" w:lineRule="auto"/>
            </w:pPr>
            <w:r>
              <w:rPr>
                <w:rFonts w:ascii="Calibri" w:hAnsi="Calibri"/>
                <w:sz w:val="19"/>
              </w:rPr>
              <w:t>Education and early childhood</w:t>
            </w:r>
          </w:p>
        </w:tc>
        <w:tc>
          <w:tcPr>
            <w:tcW w:type="dxa" w:w="6107"/>
            <w:tcMar>
              <w:top w:w="50" w:type="dxa"/>
              <w:left w:w="90" w:type="dxa"/>
              <w:bottom w:w="60" w:type="dxa"/>
              <w:right w:w="90" w:type="dxa"/>
            </w:tcMar>
          </w:tcPr>
          <w:p>
            <w:pPr>
              <w:spacing w:before="0" w:after="0" w:line="252" w:lineRule="auto"/>
            </w:pPr>
            <w:r>
              <w:rPr>
                <w:rFonts w:ascii="Calibri" w:hAnsi="Calibri"/>
                <w:sz w:val="19"/>
              </w:rPr>
              <w:t>Classroom management, age-appropriate language, accessibility</w:t>
            </w:r>
          </w:p>
        </w:tc>
      </w:tr>
      <w:tr>
        <w:trPr>
          <w:cantSplit/>
        </w:trPr>
        <w:tc>
          <w:tcPr>
            <w:tcW w:type="dxa" w:w="3685"/>
            <w:tcMar>
              <w:top w:w="50" w:type="dxa"/>
              <w:left w:w="0" w:type="dxa"/>
              <w:bottom w:w="60" w:type="dxa"/>
              <w:right w:w="90" w:type="dxa"/>
            </w:tcMar>
          </w:tcPr>
          <w:p>
            <w:pPr>
              <w:spacing w:before="0" w:after="0" w:line="252" w:lineRule="auto"/>
            </w:pPr>
            <w:r>
              <w:rPr>
                <w:rFonts w:ascii="Calibri" w:hAnsi="Calibri"/>
                <w:sz w:val="19"/>
              </w:rPr>
              <w:t>Psychology and human services</w:t>
            </w:r>
          </w:p>
        </w:tc>
        <w:tc>
          <w:tcPr>
            <w:tcW w:type="dxa" w:w="6107"/>
            <w:tcMar>
              <w:top w:w="50" w:type="dxa"/>
              <w:left w:w="90" w:type="dxa"/>
              <w:bottom w:w="60" w:type="dxa"/>
              <w:right w:w="90" w:type="dxa"/>
            </w:tcMar>
          </w:tcPr>
          <w:p>
            <w:pPr>
              <w:spacing w:before="0" w:after="0" w:line="252" w:lineRule="auto"/>
            </w:pPr>
            <w:r>
              <w:rPr>
                <w:rFonts w:ascii="Calibri" w:hAnsi="Calibri"/>
                <w:sz w:val="19"/>
              </w:rPr>
              <w:t>Listening, calm responses, trauma-informed habits</w:t>
            </w:r>
          </w:p>
        </w:tc>
      </w:tr>
      <w:tr>
        <w:trPr>
          <w:cantSplit/>
        </w:trPr>
        <w:tc>
          <w:tcPr>
            <w:tcW w:type="dxa" w:w="3685"/>
            <w:tcMar>
              <w:top w:w="50" w:type="dxa"/>
              <w:left w:w="0" w:type="dxa"/>
              <w:bottom w:w="60" w:type="dxa"/>
              <w:right w:w="90" w:type="dxa"/>
            </w:tcMar>
          </w:tcPr>
          <w:p>
            <w:pPr>
              <w:spacing w:before="0" w:after="0" w:line="252" w:lineRule="auto"/>
            </w:pPr>
            <w:r>
              <w:rPr>
                <w:rFonts w:ascii="Calibri" w:hAnsi="Calibri"/>
                <w:sz w:val="19"/>
              </w:rPr>
              <w:t>Criminal justice</w:t>
            </w:r>
          </w:p>
        </w:tc>
        <w:tc>
          <w:tcPr>
            <w:tcW w:type="dxa" w:w="6107"/>
            <w:tcMar>
              <w:top w:w="50" w:type="dxa"/>
              <w:left w:w="90" w:type="dxa"/>
              <w:bottom w:w="60" w:type="dxa"/>
              <w:right w:w="90" w:type="dxa"/>
            </w:tcMar>
          </w:tcPr>
          <w:p>
            <w:pPr>
              <w:spacing w:before="0" w:after="0" w:line="252" w:lineRule="auto"/>
            </w:pPr>
            <w:r>
              <w:rPr>
                <w:rFonts w:ascii="Calibri" w:hAnsi="Calibri"/>
                <w:sz w:val="19"/>
              </w:rPr>
              <w:t>Understanding of reporting systems and safe handoff</w:t>
            </w:r>
          </w:p>
        </w:tc>
      </w:tr>
      <w:tr>
        <w:trPr>
          <w:cantSplit/>
        </w:trPr>
        <w:tc>
          <w:tcPr>
            <w:tcW w:type="dxa" w:w="3685"/>
            <w:tcMar>
              <w:top w:w="50" w:type="dxa"/>
              <w:left w:w="0" w:type="dxa"/>
              <w:bottom w:w="60" w:type="dxa"/>
              <w:right w:w="90" w:type="dxa"/>
            </w:tcMar>
          </w:tcPr>
          <w:p>
            <w:pPr>
              <w:spacing w:before="0" w:after="0" w:line="252" w:lineRule="auto"/>
            </w:pPr>
            <w:r>
              <w:rPr>
                <w:rFonts w:ascii="Calibri" w:hAnsi="Calibri"/>
                <w:sz w:val="19"/>
              </w:rPr>
              <w:t>Nursing and health sciences</w:t>
            </w:r>
          </w:p>
        </w:tc>
        <w:tc>
          <w:tcPr>
            <w:tcW w:type="dxa" w:w="6107"/>
            <w:tcMar>
              <w:top w:w="50" w:type="dxa"/>
              <w:left w:w="90" w:type="dxa"/>
              <w:bottom w:w="60" w:type="dxa"/>
              <w:right w:w="90" w:type="dxa"/>
            </w:tcMar>
          </w:tcPr>
          <w:p>
            <w:pPr>
              <w:spacing w:before="0" w:after="0" w:line="252" w:lineRule="auto"/>
            </w:pPr>
            <w:r>
              <w:rPr>
                <w:rFonts w:ascii="Calibri" w:hAnsi="Calibri"/>
                <w:sz w:val="19"/>
              </w:rPr>
              <w:t>Calm care, body safety language (always led by trained staff)</w:t>
            </w:r>
          </w:p>
        </w:tc>
      </w:tr>
      <w:tr>
        <w:trPr>
          <w:cantSplit/>
        </w:trPr>
        <w:tc>
          <w:tcPr>
            <w:tcW w:type="dxa" w:w="3685"/>
            <w:tcMar>
              <w:top w:w="50" w:type="dxa"/>
              <w:left w:w="0" w:type="dxa"/>
              <w:bottom w:w="60" w:type="dxa"/>
              <w:right w:w="90" w:type="dxa"/>
            </w:tcMar>
          </w:tcPr>
          <w:p>
            <w:pPr>
              <w:spacing w:before="0" w:after="0" w:line="252" w:lineRule="auto"/>
            </w:pPr>
            <w:r>
              <w:rPr>
                <w:rFonts w:ascii="Calibri" w:hAnsi="Calibri"/>
                <w:sz w:val="19"/>
              </w:rPr>
              <w:t>Art, design and communication</w:t>
            </w:r>
          </w:p>
        </w:tc>
        <w:tc>
          <w:tcPr>
            <w:tcW w:type="dxa" w:w="6107"/>
            <w:tcMar>
              <w:top w:w="50" w:type="dxa"/>
              <w:left w:w="90" w:type="dxa"/>
              <w:bottom w:w="60" w:type="dxa"/>
              <w:right w:w="90" w:type="dxa"/>
            </w:tcMar>
          </w:tcPr>
          <w:p>
            <w:pPr>
              <w:spacing w:before="0" w:after="0" w:line="252" w:lineRule="auto"/>
            </w:pPr>
            <w:r>
              <w:rPr>
                <w:rFonts w:ascii="Calibri" w:hAnsi="Calibri"/>
                <w:sz w:val="19"/>
              </w:rPr>
              <w:t>Passports, posters, station materials, a welcoming look</w:t>
            </w:r>
          </w:p>
        </w:tc>
      </w:tr>
      <w:tr>
        <w:trPr>
          <w:cantSplit/>
        </w:trPr>
        <w:tc>
          <w:tcPr>
            <w:tcW w:type="dxa" w:w="3685"/>
            <w:tcMar>
              <w:top w:w="50" w:type="dxa"/>
              <w:left w:w="0" w:type="dxa"/>
              <w:bottom w:w="60" w:type="dxa"/>
              <w:right w:w="90" w:type="dxa"/>
            </w:tcMar>
          </w:tcPr>
          <w:p>
            <w:pPr>
              <w:spacing w:before="0" w:after="0" w:line="252" w:lineRule="auto"/>
            </w:pPr>
            <w:r>
              <w:rPr>
                <w:rFonts w:ascii="Calibri" w:hAnsi="Calibri"/>
                <w:sz w:val="19"/>
              </w:rPr>
              <w:t>Any major</w:t>
            </w:r>
          </w:p>
        </w:tc>
        <w:tc>
          <w:tcPr>
            <w:tcW w:type="dxa" w:w="6107"/>
            <w:tcMar>
              <w:top w:w="50" w:type="dxa"/>
              <w:left w:w="90" w:type="dxa"/>
              <w:bottom w:w="60" w:type="dxa"/>
              <w:right w:w="90" w:type="dxa"/>
            </w:tcMar>
          </w:tcPr>
          <w:p>
            <w:pPr>
              <w:spacing w:before="0" w:after="0" w:line="252" w:lineRule="auto"/>
            </w:pPr>
            <w:r>
              <w:rPr>
                <w:rFonts w:ascii="Calibri" w:hAnsi="Calibri"/>
                <w:sz w:val="19"/>
              </w:rPr>
              <w:t>A warm adult-in-training who follows the rules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What mentors do and do not do</w:t>
      </w:r>
    </w:p>
    <w:p>
      <w:r>
        <w:rPr>
          <w:b/>
        </w:rPr>
        <w:t>Mentors do:</w:t>
      </w:r>
      <w:r>
        <w:rPr/>
        <w:t xml:space="preserve"> help run stations from a script; model Pause, Check and Tell; share a short, approved story about why they chose their field; support children's participation; hand off any worry to the teacher or the staff member present.</w:t>
      </w:r>
    </w:p>
    <w:p>
      <w:r>
        <w:rPr>
          <w:b/>
        </w:rPr>
        <w:t>Mentors never:</w:t>
      </w:r>
      <w:r>
        <w:rPr/>
        <w:t xml:space="preserve"> are alone with a child; hold private conversations, give out or accept contact details, or connect on social media with a child; take photos or recordings of children; collect any information about children; demonstrate attacks on real people or accounts; tell scary stories or use graphic detail; promise secrecy; investigate; play a person who causes harm; promote any product, employer or program to children.</w:t>
      </w:r>
    </w:p>
    <w:p>
      <w:pPr>
        <w:pStyle w:val="Heading2"/>
        <w:pBdr>
          <w:top w:val="single" w:sz="18" w:space="6" w:color="FF8A3D"/>
        </w:pBdr>
        <w:spacing w:before="320"/>
      </w:pPr>
      <w:r>
        <w:rPr>
          <w:rFonts w:ascii="Courier New" w:hAnsi="Courier New"/>
          <w:b w:val="0"/>
          <w:color w:val="A8400A"/>
          <w:sz w:val="20"/>
        </w:rPr>
        <w:t xml:space="preserve">04  </w:t>
      </w:r>
      <w:r>
        <w:rPr/>
        <w:t>Roles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22"/>
        <w:gridCol w:w="3480"/>
        <w:gridCol w:w="4591"/>
      </w:tblGrid>
      <w:tr>
        <w:trPr>
          <w:tblHeader/>
          <w:cantSplit/>
        </w:trPr>
        <w:tc>
          <w:tcPr>
            <w:tcW w:type="dxa" w:w="172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34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45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MAIN DUTIES</w:t>
            </w:r>
          </w:p>
        </w:tc>
      </w:tr>
      <w:tr>
        <w:trPr>
          <w:cantSplit/>
        </w:trPr>
        <w:tc>
          <w:tcPr>
            <w:tcW w:type="dxa" w:w="1722"/>
            <w:tcMar>
              <w:top w:w="50" w:type="dxa"/>
              <w:left w:w="0" w:type="dxa"/>
              <w:bottom w:w="60" w:type="dxa"/>
              <w:right w:w="90" w:type="dxa"/>
            </w:tcMar>
          </w:tcPr>
          <w:p>
            <w:pPr>
              <w:spacing w:before="0" w:after="0" w:line="252" w:lineRule="auto"/>
            </w:pPr>
            <w:r>
              <w:rPr>
                <w:rFonts w:ascii="Calibri" w:hAnsi="Calibri"/>
                <w:b/>
                <w:sz w:val="19"/>
              </w:rPr>
              <w:t>Mentor</w:t>
            </w:r>
          </w:p>
        </w:tc>
        <w:tc>
          <w:tcPr>
            <w:tcW w:type="dxa" w:w="3480"/>
            <w:tcMar>
              <w:top w:w="50" w:type="dxa"/>
              <w:left w:w="90" w:type="dxa"/>
              <w:bottom w:w="60" w:type="dxa"/>
              <w:right w:w="90" w:type="dxa"/>
            </w:tcMar>
          </w:tcPr>
          <w:p>
            <w:pPr>
              <w:spacing w:before="0" w:after="0" w:line="252" w:lineRule="auto"/>
            </w:pPr>
            <w:r>
              <w:rPr>
                <w:rFonts w:ascii="Calibri" w:hAnsi="Calibri"/>
                <w:sz w:val="19"/>
              </w:rPr>
              <w:t>Trained and screened college student</w:t>
            </w:r>
          </w:p>
        </w:tc>
        <w:tc>
          <w:tcPr>
            <w:tcW w:type="dxa" w:w="4591"/>
            <w:tcMar>
              <w:top w:w="50" w:type="dxa"/>
              <w:left w:w="90" w:type="dxa"/>
              <w:bottom w:w="60" w:type="dxa"/>
              <w:right w:w="90" w:type="dxa"/>
            </w:tcMar>
          </w:tcPr>
          <w:p>
            <w:pPr>
              <w:spacing w:before="0" w:after="0" w:line="252" w:lineRule="auto"/>
            </w:pPr>
            <w:r>
              <w:rPr>
                <w:rFonts w:ascii="Calibri" w:hAnsi="Calibri"/>
                <w:sz w:val="19"/>
              </w:rPr>
              <w:t>Support a station or classroom activity from the script, follow the code of conduct, hand off any worry to the staff member present, complete a short reflection</w:t>
            </w:r>
          </w:p>
        </w:tc>
      </w:tr>
      <w:tr>
        <w:trPr>
          <w:cantSplit/>
        </w:trPr>
        <w:tc>
          <w:tcPr>
            <w:tcW w:type="dxa" w:w="1722"/>
            <w:tcMar>
              <w:top w:w="50" w:type="dxa"/>
              <w:left w:w="0" w:type="dxa"/>
              <w:bottom w:w="60" w:type="dxa"/>
              <w:right w:w="90" w:type="dxa"/>
            </w:tcMar>
          </w:tcPr>
          <w:p>
            <w:pPr>
              <w:spacing w:before="0" w:after="0" w:line="252" w:lineRule="auto"/>
            </w:pPr>
            <w:r>
              <w:rPr>
                <w:rFonts w:ascii="Calibri" w:hAnsi="Calibri"/>
                <w:b/>
                <w:sz w:val="19"/>
              </w:rPr>
              <w:t>Station Lead</w:t>
            </w:r>
          </w:p>
        </w:tc>
        <w:tc>
          <w:tcPr>
            <w:tcW w:type="dxa" w:w="3480"/>
            <w:tcMar>
              <w:top w:w="50" w:type="dxa"/>
              <w:left w:w="90" w:type="dxa"/>
              <w:bottom w:w="60" w:type="dxa"/>
              <w:right w:w="90" w:type="dxa"/>
            </w:tcMar>
          </w:tcPr>
          <w:p>
            <w:pPr>
              <w:spacing w:before="0" w:after="0" w:line="252" w:lineRule="auto"/>
            </w:pPr>
            <w:r>
              <w:rPr>
                <w:rFonts w:ascii="Calibri" w:hAnsi="Calibri"/>
                <w:sz w:val="19"/>
              </w:rPr>
              <w:t>Experienced mentor (at least [2] events and a refresher) plus completed Station Lead supplement</w:t>
            </w:r>
          </w:p>
        </w:tc>
        <w:tc>
          <w:tcPr>
            <w:tcW w:type="dxa" w:w="4591"/>
            <w:tcMar>
              <w:top w:w="50" w:type="dxa"/>
              <w:left w:w="90" w:type="dxa"/>
              <w:bottom w:w="60" w:type="dxa"/>
              <w:right w:w="90" w:type="dxa"/>
            </w:tcMar>
          </w:tcPr>
          <w:p>
            <w:pPr>
              <w:spacing w:before="0" w:after="0" w:line="252" w:lineRule="auto"/>
            </w:pPr>
            <w:r>
              <w:rPr>
                <w:rFonts w:ascii="Calibri" w:hAnsi="Calibri"/>
                <w:sz w:val="19"/>
              </w:rPr>
              <w:t>Run one station or one classroom team, brief the mentors before the event, keep the station in sight of school staff, act as the first point of contact for mentors, complete the event sign-in</w:t>
            </w:r>
          </w:p>
        </w:tc>
      </w:tr>
      <w:tr>
        <w:trPr>
          <w:cantSplit/>
        </w:trPr>
        <w:tc>
          <w:tcPr>
            <w:tcW w:type="dxa" w:w="1722"/>
            <w:tcMar>
              <w:top w:w="50" w:type="dxa"/>
              <w:left w:w="0" w:type="dxa"/>
              <w:bottom w:w="60" w:type="dxa"/>
              <w:right w:w="90" w:type="dxa"/>
            </w:tcMar>
          </w:tcPr>
          <w:p>
            <w:pPr>
              <w:spacing w:before="0" w:after="0" w:line="252" w:lineRule="auto"/>
            </w:pPr>
            <w:r>
              <w:rPr>
                <w:rFonts w:ascii="Calibri" w:hAnsi="Calibri"/>
                <w:b/>
                <w:sz w:val="19"/>
              </w:rPr>
              <w:t>Coordinator</w:t>
            </w:r>
          </w:p>
        </w:tc>
        <w:tc>
          <w:tcPr>
            <w:tcW w:type="dxa" w:w="3480"/>
            <w:tcMar>
              <w:top w:w="50" w:type="dxa"/>
              <w:left w:w="90" w:type="dxa"/>
              <w:bottom w:w="60" w:type="dxa"/>
              <w:right w:w="90" w:type="dxa"/>
            </w:tcMar>
          </w:tcPr>
          <w:p>
            <w:pPr>
              <w:spacing w:before="0" w:after="0" w:line="252" w:lineRule="auto"/>
            </w:pPr>
            <w:r>
              <w:rPr>
                <w:rFonts w:ascii="Calibri" w:hAnsi="Calibri"/>
                <w:sz w:val="19"/>
              </w:rPr>
              <w:t>College staff member, or a trained student leader supervised by a staff member [COUNSEL/HR TO CONFIRM]</w:t>
            </w:r>
          </w:p>
        </w:tc>
        <w:tc>
          <w:tcPr>
            <w:tcW w:type="dxa" w:w="4591"/>
            <w:tcMar>
              <w:top w:w="50" w:type="dxa"/>
              <w:left w:w="90" w:type="dxa"/>
              <w:bottom w:w="60" w:type="dxa"/>
              <w:right w:w="90" w:type="dxa"/>
            </w:tcMar>
          </w:tcPr>
          <w:p>
            <w:pPr>
              <w:spacing w:before="0" w:after="0" w:line="252" w:lineRule="auto"/>
            </w:pPr>
            <w:r>
              <w:rPr>
                <w:rFonts w:ascii="Calibri" w:hAnsi="Calibri"/>
                <w:sz w:val="19"/>
              </w:rPr>
              <w:t>Schedule events, manage screening records, confirm the school agreement, assign mentors, hold the event emergency contact, receive incident reports, track aggregate impact counts</w:t>
            </w:r>
          </w:p>
        </w:tc>
      </w:tr>
      <w:tr>
        <w:trPr>
          <w:cantSplit/>
        </w:trPr>
        <w:tc>
          <w:tcPr>
            <w:tcW w:type="dxa" w:w="1722"/>
            <w:tcMar>
              <w:top w:w="50" w:type="dxa"/>
              <w:left w:w="0" w:type="dxa"/>
              <w:bottom w:w="60" w:type="dxa"/>
              <w:right w:w="90" w:type="dxa"/>
            </w:tcMar>
          </w:tcPr>
          <w:p>
            <w:pPr>
              <w:spacing w:before="0" w:after="0" w:line="252" w:lineRule="auto"/>
            </w:pPr>
            <w:r>
              <w:rPr>
                <w:rFonts w:ascii="Calibri" w:hAnsi="Calibri"/>
                <w:b/>
                <w:sz w:val="19"/>
              </w:rPr>
              <w:t>Faculty or Staff Advisor</w:t>
            </w:r>
          </w:p>
        </w:tc>
        <w:tc>
          <w:tcPr>
            <w:tcW w:type="dxa" w:w="3480"/>
            <w:tcMar>
              <w:top w:w="50" w:type="dxa"/>
              <w:left w:w="90" w:type="dxa"/>
              <w:bottom w:w="60" w:type="dxa"/>
              <w:right w:w="90" w:type="dxa"/>
            </w:tcMar>
          </w:tcPr>
          <w:p>
            <w:pPr>
              <w:spacing w:before="0" w:after="0" w:line="252" w:lineRule="auto"/>
            </w:pPr>
            <w:r>
              <w:rPr>
                <w:rFonts w:ascii="Calibri" w:hAnsi="Calibri"/>
                <w:sz w:val="19"/>
              </w:rPr>
              <w:t>Faculty or staff member</w:t>
            </w:r>
          </w:p>
        </w:tc>
        <w:tc>
          <w:tcPr>
            <w:tcW w:type="dxa" w:w="4591"/>
            <w:tcMar>
              <w:top w:w="50" w:type="dxa"/>
              <w:left w:w="90" w:type="dxa"/>
              <w:bottom w:w="60" w:type="dxa"/>
              <w:right w:w="90" w:type="dxa"/>
            </w:tcMar>
          </w:tcPr>
          <w:p>
            <w:pPr>
              <w:spacing w:before="0" w:after="0" w:line="252" w:lineRule="auto"/>
            </w:pPr>
            <w:r>
              <w:rPr>
                <w:rFonts w:ascii="Calibri" w:hAnsi="Calibri"/>
                <w:sz w:val="19"/>
              </w:rPr>
              <w:t>Oversee the program, sign off on training, review incident reports with the coordinator, connect service hours to a course or the co-curricular transcript (see the Advisor Guide)</w:t>
            </w:r>
          </w:p>
        </w:tc>
      </w:tr>
      <w:tr>
        <w:trPr>
          <w:cantSplit/>
        </w:trPr>
        <w:tc>
          <w:tcPr>
            <w:tcW w:type="dxa" w:w="1722"/>
            <w:tcMar>
              <w:top w:w="50" w:type="dxa"/>
              <w:left w:w="0" w:type="dxa"/>
              <w:bottom w:w="60" w:type="dxa"/>
              <w:right w:w="90" w:type="dxa"/>
            </w:tcMar>
          </w:tcPr>
          <w:p>
            <w:pPr>
              <w:spacing w:before="0" w:after="0" w:line="252" w:lineRule="auto"/>
            </w:pPr>
            <w:r>
              <w:rPr>
                <w:rFonts w:ascii="Calibri" w:hAnsi="Calibri"/>
                <w:b/>
                <w:sz w:val="19"/>
              </w:rPr>
              <w:t>Host Teacher or School Contact</w:t>
            </w:r>
          </w:p>
        </w:tc>
        <w:tc>
          <w:tcPr>
            <w:tcW w:type="dxa" w:w="3480"/>
            <w:tcMar>
              <w:top w:w="50" w:type="dxa"/>
              <w:left w:w="90" w:type="dxa"/>
              <w:bottom w:w="60" w:type="dxa"/>
              <w:right w:w="90" w:type="dxa"/>
            </w:tcMar>
          </w:tcPr>
          <w:p>
            <w:pPr>
              <w:spacing w:before="0" w:after="0" w:line="252" w:lineRule="auto"/>
            </w:pPr>
            <w:r>
              <w:rPr>
                <w:rFonts w:ascii="Calibri" w:hAnsi="Calibri"/>
                <w:sz w:val="19"/>
              </w:rPr>
              <w:t>Employee of the school or library</w:t>
            </w:r>
          </w:p>
        </w:tc>
        <w:tc>
          <w:tcPr>
            <w:tcW w:type="dxa" w:w="4591"/>
            <w:tcMar>
              <w:top w:w="50" w:type="dxa"/>
              <w:left w:w="90" w:type="dxa"/>
              <w:bottom w:w="60" w:type="dxa"/>
              <w:right w:w="90" w:type="dxa"/>
            </w:tcMar>
          </w:tcPr>
          <w:p>
            <w:pPr>
              <w:spacing w:before="0" w:after="0" w:line="252" w:lineRule="auto"/>
            </w:pPr>
            <w:r>
              <w:rPr>
                <w:rFonts w:ascii="Calibri" w:hAnsi="Calibri"/>
                <w:sz w:val="19"/>
              </w:rPr>
              <w:t>Leads the lesson, remains in the room at all times, owns the school's safeguarding protocol</w:t>
            </w:r>
          </w:p>
        </w:tc>
      </w:tr>
    </w:tbl>
    <w:p>
      <w:pPr>
        <w:spacing w:before="0" w:after="0" w:line="160" w:lineRule="exact"/>
      </w:pPr>
      <w:r>
        <w:rPr>
          <w:sz w:val="2"/>
        </w:rPr>
      </w:r>
    </w:p>
    <w:p>
      <w:r>
        <w:rPr/>
        <w:t>A mentor is not a substitute teacher, tutor, chaperone or counselor. A mentor does not count toward the school's required adult supervision ratio.</w:t>
      </w:r>
    </w:p>
    <w:p>
      <w:pPr>
        <w:pStyle w:val="Heading2"/>
        <w:pBdr>
          <w:top w:val="single" w:sz="18" w:space="6" w:color="FF8A3D"/>
        </w:pBdr>
        <w:spacing w:before="320"/>
      </w:pPr>
      <w:r>
        <w:rPr>
          <w:rFonts w:ascii="Courier New" w:hAnsi="Courier New"/>
          <w:b w:val="0"/>
          <w:color w:val="A8400A"/>
          <w:sz w:val="20"/>
        </w:rPr>
        <w:t xml:space="preserve">05  </w:t>
      </w:r>
      <w:r>
        <w:rPr/>
        <w:t>Eligibility</w:t>
      </w:r>
    </w:p>
    <w:p>
      <w:pPr>
        <w:pStyle w:val="ListBullet"/>
      </w:pPr>
      <w:r>
        <w:rPr/>
        <w:t>Enrolled at [COLLEGE NAME] in good standing under the college's rules. The program sets no GPA minimum, because many community college students work or care for family while enrolled.</w:t>
      </w:r>
    </w:p>
    <w:p>
      <w:pPr>
        <w:pStyle w:val="ListBullet"/>
      </w:pPr>
      <w:r>
        <w:rPr/>
        <w:t>18 or older on the first event date [COUNSEL TO CONFIRM; some colleges allow dual-enrolled students under 18 only in non-contact roles].</w:t>
      </w:r>
    </w:p>
    <w:p>
      <w:pPr>
        <w:pStyle w:val="ListBullet"/>
      </w:pPr>
      <w:r>
        <w:rPr/>
        <w:t>Completes the application, screening and background check in document 02.</w:t>
      </w:r>
    </w:p>
    <w:p>
      <w:pPr>
        <w:pStyle w:val="ListBullet"/>
      </w:pPr>
      <w:r>
        <w:rPr/>
        <w:t>Completes the four-hour training in document 04 and signs the code of conduct (document 05).</w:t>
      </w:r>
    </w:p>
    <w:p>
      <w:pPr>
        <w:pStyle w:val="ListBullet"/>
      </w:pPr>
      <w:r>
        <w:rPr/>
        <w:t>Agrees to follow the host school's visitor policy.</w:t>
      </w:r>
    </w:p>
    <w:p>
      <w:pPr>
        <w:pStyle w:val="ListBullet"/>
      </w:pPr>
      <w:r>
        <w:rPr/>
        <w:t>No requirement to be a technology major or to own a car.</w:t>
      </w:r>
    </w:p>
    <w:p>
      <w:r>
        <w:rPr/>
        <w:t>Students with disabilities are welcome. [DISABILITY SERVICES] can discuss accommodations and the essential functions of each role, so we do not exclude anyone by assumption. Placement decisions follow the college's nondiscrimination policy [COUNSEL/HR TO CONFIRM].</w:t>
      </w:r>
    </w:p>
    <w:p>
      <w:pPr>
        <w:pStyle w:val="Heading2"/>
        <w:pBdr>
          <w:top w:val="single" w:sz="18" w:space="6" w:color="FF8A3D"/>
        </w:pBdr>
        <w:spacing w:before="320"/>
      </w:pPr>
      <w:r>
        <w:rPr>
          <w:rFonts w:ascii="Courier New" w:hAnsi="Courier New"/>
          <w:b w:val="0"/>
          <w:color w:val="A8400A"/>
          <w:sz w:val="20"/>
        </w:rPr>
        <w:t xml:space="preserve">06  </w:t>
      </w:r>
      <w:r>
        <w:rPr/>
        <w:t>Supervision</w:t>
      </w:r>
    </w:p>
    <w:p>
      <w:r>
        <w:rPr/>
        <w:t>These are default settings. Your school partners' rules and your state's rules control where they are stricter [COUNSEL/HR TO CONFIRM; VERIFY state law and licensing rules].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80"/>
        <w:gridCol w:w="5812"/>
      </w:tblGrid>
      <w:tr>
        <w:trPr>
          <w:tblHeader/>
          <w:cantSplit/>
        </w:trPr>
        <w:tc>
          <w:tcPr>
            <w:tcW w:type="dxa" w:w="398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RULE</w:t>
            </w:r>
          </w:p>
        </w:tc>
        <w:tc>
          <w:tcPr>
            <w:tcW w:type="dxa" w:w="58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DEFAULT</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School or library staff present in the room at all times</w:t>
            </w:r>
          </w:p>
        </w:tc>
        <w:tc>
          <w:tcPr>
            <w:tcW w:type="dxa" w:w="5812"/>
            <w:tcMar>
              <w:top w:w="50" w:type="dxa"/>
              <w:left w:w="90" w:type="dxa"/>
              <w:bottom w:w="60" w:type="dxa"/>
              <w:right w:w="90" w:type="dxa"/>
            </w:tcMar>
          </w:tcPr>
          <w:p>
            <w:pPr>
              <w:spacing w:before="0" w:after="0" w:line="252" w:lineRule="auto"/>
            </w:pPr>
            <w:r>
              <w:rPr>
                <w:rFonts w:ascii="Calibri" w:hAnsi="Calibri"/>
                <w:sz w:val="19"/>
              </w:rPr>
              <w:t>Yes, always</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College staff or advisor on site during any event</w:t>
            </w:r>
          </w:p>
        </w:tc>
        <w:tc>
          <w:tcPr>
            <w:tcW w:type="dxa" w:w="5812"/>
            <w:tcMar>
              <w:top w:w="50" w:type="dxa"/>
              <w:left w:w="90" w:type="dxa"/>
              <w:bottom w:w="60" w:type="dxa"/>
              <w:right w:w="90" w:type="dxa"/>
            </w:tcMar>
          </w:tcPr>
          <w:p>
            <w:pPr>
              <w:spacing w:before="0" w:after="0" w:line="252" w:lineRule="auto"/>
            </w:pPr>
            <w:r>
              <w:rPr>
                <w:rFonts w:ascii="Calibri" w:hAnsi="Calibri"/>
                <w:sz w:val="19"/>
              </w:rPr>
              <w:t>At least one</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Mentors never alone with a child</w:t>
            </w:r>
          </w:p>
        </w:tc>
        <w:tc>
          <w:tcPr>
            <w:tcW w:type="dxa" w:w="5812"/>
            <w:tcMar>
              <w:top w:w="50" w:type="dxa"/>
              <w:left w:w="90" w:type="dxa"/>
              <w:bottom w:w="60" w:type="dxa"/>
              <w:right w:w="90" w:type="dxa"/>
            </w:tcMar>
          </w:tcPr>
          <w:p>
            <w:pPr>
              <w:spacing w:before="0" w:after="0" w:line="252" w:lineRule="auto"/>
            </w:pPr>
            <w:r>
              <w:rPr>
                <w:rFonts w:ascii="Calibri" w:hAnsi="Calibri"/>
                <w:sz w:val="19"/>
              </w:rPr>
              <w:t>Always. Stay in sight of at least one other adult</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Mentor to child ratio at a station</w:t>
            </w:r>
          </w:p>
        </w:tc>
        <w:tc>
          <w:tcPr>
            <w:tcW w:type="dxa" w:w="5812"/>
            <w:tcMar>
              <w:top w:w="50" w:type="dxa"/>
              <w:left w:w="90" w:type="dxa"/>
              <w:bottom w:w="60" w:type="dxa"/>
              <w:right w:w="90" w:type="dxa"/>
            </w:tcMar>
          </w:tcPr>
          <w:p>
            <w:pPr>
              <w:spacing w:before="0" w:after="0" w:line="252" w:lineRule="auto"/>
            </w:pPr>
            <w:r>
              <w:rPr>
                <w:rFonts w:ascii="Calibri" w:hAnsi="Calibri"/>
                <w:sz w:val="19"/>
              </w:rPr>
              <w:t>No more than 1 mentor for every [8 to 10] children, and a school staff member present</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Mentor to Station Lead ratio</w:t>
            </w:r>
          </w:p>
        </w:tc>
        <w:tc>
          <w:tcPr>
            <w:tcW w:type="dxa" w:w="5812"/>
            <w:tcMar>
              <w:top w:w="50" w:type="dxa"/>
              <w:left w:w="90" w:type="dxa"/>
              <w:bottom w:w="60" w:type="dxa"/>
              <w:right w:w="90" w:type="dxa"/>
            </w:tcMar>
          </w:tcPr>
          <w:p>
            <w:pPr>
              <w:spacing w:before="0" w:after="0" w:line="252" w:lineRule="auto"/>
            </w:pPr>
            <w:r>
              <w:rPr>
                <w:rFonts w:ascii="Calibri" w:hAnsi="Calibri"/>
                <w:sz w:val="19"/>
              </w:rPr>
              <w:t>No more than [4] mentors per Station Lead</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Station Lead to Coordinator</w:t>
            </w:r>
          </w:p>
        </w:tc>
        <w:tc>
          <w:tcPr>
            <w:tcW w:type="dxa" w:w="5812"/>
            <w:tcMar>
              <w:top w:w="50" w:type="dxa"/>
              <w:left w:w="90" w:type="dxa"/>
              <w:bottom w:w="60" w:type="dxa"/>
              <w:right w:w="90" w:type="dxa"/>
            </w:tcMar>
          </w:tcPr>
          <w:p>
            <w:pPr>
              <w:spacing w:before="0" w:after="0" w:line="252" w:lineRule="auto"/>
            </w:pPr>
            <w:r>
              <w:rPr>
                <w:rFonts w:ascii="Calibri" w:hAnsi="Calibri"/>
                <w:sz w:val="19"/>
              </w:rPr>
              <w:t>Coordinator reachable by phone for the whole event</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Two-mentor rule</w:t>
            </w:r>
          </w:p>
        </w:tc>
        <w:tc>
          <w:tcPr>
            <w:tcW w:type="dxa" w:w="5812"/>
            <w:tcMar>
              <w:top w:w="50" w:type="dxa"/>
              <w:left w:w="90" w:type="dxa"/>
              <w:bottom w:w="60" w:type="dxa"/>
              <w:right w:w="90" w:type="dxa"/>
            </w:tcMar>
          </w:tcPr>
          <w:p>
            <w:pPr>
              <w:spacing w:before="0" w:after="0" w:line="252" w:lineRule="auto"/>
            </w:pPr>
            <w:r>
              <w:rPr>
                <w:rFonts w:ascii="Calibri" w:hAnsi="Calibri"/>
                <w:sz w:val="19"/>
              </w:rPr>
              <w:t>Mentors work in pairs at a station, except in a classroom with the teacher present</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Restrooms, transport, medical care, physical comfort</w:t>
            </w:r>
          </w:p>
        </w:tc>
        <w:tc>
          <w:tcPr>
            <w:tcW w:type="dxa" w:w="5812"/>
            <w:tcMar>
              <w:top w:w="50" w:type="dxa"/>
              <w:left w:w="90" w:type="dxa"/>
              <w:bottom w:w="60" w:type="dxa"/>
              <w:right w:w="90" w:type="dxa"/>
            </w:tcMar>
          </w:tcPr>
          <w:p>
            <w:pPr>
              <w:spacing w:before="0" w:after="0" w:line="252" w:lineRule="auto"/>
            </w:pPr>
            <w:r>
              <w:rPr>
                <w:rFonts w:ascii="Calibri" w:hAnsi="Calibri"/>
                <w:sz w:val="19"/>
              </w:rPr>
              <w:t>School staff only</w:t>
            </w:r>
          </w:p>
        </w:tc>
      </w:tr>
      <w:tr>
        <w:trPr>
          <w:cantSplit/>
        </w:trPr>
        <w:tc>
          <w:tcPr>
            <w:tcW w:type="dxa" w:w="3980"/>
            <w:tcMar>
              <w:top w:w="50" w:type="dxa"/>
              <w:left w:w="0" w:type="dxa"/>
              <w:bottom w:w="60" w:type="dxa"/>
              <w:right w:w="90" w:type="dxa"/>
            </w:tcMar>
          </w:tcPr>
          <w:p>
            <w:pPr>
              <w:spacing w:before="0" w:after="0" w:line="252" w:lineRule="auto"/>
            </w:pPr>
            <w:r>
              <w:rPr>
                <w:rFonts w:ascii="Calibri" w:hAnsi="Calibri"/>
                <w:sz w:val="19"/>
              </w:rPr>
              <w:t>Closed doors</w:t>
            </w:r>
          </w:p>
        </w:tc>
        <w:tc>
          <w:tcPr>
            <w:tcW w:type="dxa" w:w="5812"/>
            <w:tcMar>
              <w:top w:w="50" w:type="dxa"/>
              <w:left w:w="90" w:type="dxa"/>
              <w:bottom w:w="60" w:type="dxa"/>
              <w:right w:w="90" w:type="dxa"/>
            </w:tcMar>
          </w:tcPr>
          <w:p>
            <w:pPr>
              <w:spacing w:before="0" w:after="0" w:line="252" w:lineRule="auto"/>
            </w:pPr>
            <w:r>
              <w:rPr>
                <w:rFonts w:ascii="Calibri" w:hAnsi="Calibri"/>
                <w:sz w:val="19"/>
              </w:rPr>
              <w:t>Never. Doors stay open or have a window</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Code of conduct, incident reporting and standards</w:t>
      </w:r>
    </w:p>
    <w:p>
      <w:r>
        <w:rPr/>
        <w:t>All mentors sign the code of conduct (document 05). Any concern about a mentor's behavior, or any disclosure by a child, uses the incident forms in document 06. The coordinator and advisor review every report and decide on removal, retraining or referral to the college's processes. Breaches that involve children are grounds for immediate removal pending review.</w:t>
      </w:r>
    </w:p>
    <w:p>
      <w:pPr>
        <w:pStyle w:val="Heading2"/>
        <w:pBdr>
          <w:top w:val="single" w:sz="18" w:space="6" w:color="FF8A3D"/>
        </w:pBdr>
        <w:spacing w:before="320"/>
      </w:pPr>
      <w:r>
        <w:rPr>
          <w:rFonts w:ascii="Courier New" w:hAnsi="Courier New"/>
          <w:b w:val="0"/>
          <w:color w:val="A8400A"/>
          <w:sz w:val="20"/>
        </w:rPr>
        <w:t xml:space="preserve">08  </w:t>
      </w:r>
      <w:r>
        <w:rPr/>
        <w:t>Recognition</w:t>
      </w:r>
    </w:p>
    <w:p>
      <w:r>
        <w:rPr/>
        <w:t>Mentors earn service hours, digital badges and certificates (document 07). Recognition never includes names or photos of children. No payment, gift or reward from a school or family may be accepted beyond a thank-you note [COUNSEL TO CONFIRM].</w:t>
      </w:r>
    </w:p>
    <w:p>
      <w:pPr>
        <w:pStyle w:val="Heading2"/>
        <w:pBdr>
          <w:top w:val="single" w:sz="18" w:space="6" w:color="FF8A3D"/>
        </w:pBdr>
        <w:spacing w:before="320"/>
      </w:pPr>
      <w:r>
        <w:rPr>
          <w:rFonts w:ascii="Courier New" w:hAnsi="Courier New"/>
          <w:b w:val="0"/>
          <w:color w:val="A8400A"/>
          <w:sz w:val="20"/>
        </w:rPr>
        <w:t xml:space="preserve">09  </w:t>
      </w:r>
      <w:r>
        <w:rPr/>
        <w:t>Community college design</w:t>
      </w:r>
    </w:p>
    <w:p>
      <w:pPr>
        <w:pStyle w:val="ListBullet"/>
      </w:pPr>
      <w:r>
        <w:rPr>
          <w:b/>
        </w:rPr>
        <w:t>Low budget.</w:t>
      </w:r>
      <w:r>
        <w:rPr/>
        <w:t xml:space="preserve"> Free materials, no licenses, black-and-white printing, a projector and a room. The main costs are screening checks, staff time and insurance [COUNSEL/HR TO CONFIRM who pays].</w:t>
      </w:r>
    </w:p>
    <w:p>
      <w:pPr>
        <w:pStyle w:val="ListBullet"/>
      </w:pPr>
      <w:r>
        <w:rPr>
          <w:b/>
        </w:rPr>
        <w:t>Commuter and evening schedules.</w:t>
      </w:r>
      <w:r>
        <w:rPr/>
        <w:t xml:space="preserve"> Events and training are scheduled in blocks (see the semester calendar, document 10). Offer evening and weekend training and a make-up recording of the lecture parts [LOCAL: confirm that practice and sign-off are done live].</w:t>
      </w:r>
    </w:p>
    <w:p>
      <w:pPr>
        <w:pStyle w:val="ListBullet"/>
      </w:pPr>
      <w:r>
        <w:rPr>
          <w:b/>
        </w:rPr>
        <w:t>Transportation.</w:t>
      </w:r>
      <w:r>
        <w:rPr/>
        <w:t xml:space="preserve"> Most events are on campus or at a school close to campus. See the transportation checklist.</w:t>
      </w:r>
    </w:p>
    <w:p>
      <w:pPr>
        <w:pStyle w:val="ListBullet"/>
      </w:pPr>
      <w:r>
        <w:rPr>
          <w:b/>
        </w:rPr>
        <w:t>Work-study and paid roles.</w:t>
      </w:r>
      <w:r>
        <w:rPr/>
        <w:t xml:space="preserve"> If a mentor is paid, employment rules apply and screening is probably as an employee [COUNSEL/HR TO CONFIRM].</w:t>
      </w:r>
    </w:p>
    <w:p>
      <w:pPr>
        <w:pStyle w:val="Heading2"/>
        <w:pBdr>
          <w:top w:val="single" w:sz="18" w:space="6" w:color="FF8A3D"/>
        </w:pBdr>
        <w:spacing w:before="320"/>
      </w:pPr>
      <w:r>
        <w:rPr>
          <w:rFonts w:ascii="Courier New" w:hAnsi="Courier New"/>
          <w:b w:val="0"/>
          <w:color w:val="A8400A"/>
          <w:sz w:val="20"/>
        </w:rPr>
        <w:t xml:space="preserve">10  </w:t>
      </w:r>
      <w:r>
        <w:rPr/>
        <w:t>Review gates before launch</w:t>
      </w:r>
    </w:p>
    <w:p>
      <w:pPr>
        <w:spacing w:before="0" w:after="60"/>
        <w:ind w:left="504" w:hanging="360"/>
      </w:pPr>
      <w:r>
        <w:rPr>
          <w:b/>
          <w:color w:val="2F6F73"/>
        </w:rPr>
        <w:t xml:space="preserve">1. </w:t>
      </w:r>
      <w:r>
        <w:rPr/>
        <w:t>Counsel review of the code of conduct, screening, agreement and insurance.</w:t>
      </w:r>
    </w:p>
    <w:p>
      <w:pPr>
        <w:spacing w:before="0" w:after="60"/>
        <w:ind w:left="504" w:hanging="360"/>
      </w:pPr>
      <w:r>
        <w:rPr>
          <w:b/>
          <w:color w:val="2F6F73"/>
        </w:rPr>
        <w:t xml:space="preserve">2. </w:t>
      </w:r>
      <w:r>
        <w:rPr/>
        <w:t>HR review of employment status, background checks and fair-chance rules.</w:t>
      </w:r>
    </w:p>
    <w:p>
      <w:pPr>
        <w:spacing w:before="0" w:after="60"/>
        <w:ind w:left="504" w:hanging="360"/>
      </w:pPr>
      <w:r>
        <w:rPr>
          <w:b/>
          <w:color w:val="2F6F73"/>
        </w:rPr>
        <w:t xml:space="preserve">3. </w:t>
      </w:r>
      <w:r>
        <w:rPr/>
        <w:t>A counselor or social-work review of the training (disclosure and mandated-reporting parts).</w:t>
      </w:r>
    </w:p>
    <w:p>
      <w:pPr>
        <w:spacing w:before="0" w:after="60"/>
        <w:ind w:left="504" w:hanging="360"/>
      </w:pPr>
      <w:r>
        <w:rPr>
          <w:b/>
          <w:color w:val="2F6F73"/>
        </w:rPr>
        <w:t xml:space="preserve">4. </w:t>
      </w:r>
      <w:r>
        <w:rPr/>
        <w:t>Risk management sign-off on transportation, insurance and event safety.</w:t>
      </w:r>
    </w:p>
    <w:p>
      <w:pPr>
        <w:spacing w:before="0" w:after="60"/>
        <w:ind w:left="504" w:hanging="360"/>
      </w:pPr>
      <w:r>
        <w:rPr>
          <w:b/>
          <w:color w:val="2F6F73"/>
        </w:rPr>
        <w:t xml:space="preserve">5. </w:t>
      </w:r>
      <w:r>
        <w:rPr/>
        <w:t>A written school-partner agreement for each host.</w:t>
      </w:r>
    </w:p>
    <w:p>
      <w:pPr>
        <w:spacing w:before="0" w:after="60"/>
        <w:ind w:left="504" w:hanging="360"/>
      </w:pPr>
      <w:r>
        <w:rPr>
          <w:b/>
          <w:color w:val="2F6F73"/>
        </w:rPr>
        <w:t xml:space="preserve">6. </w:t>
      </w:r>
      <w:r>
        <w:rPr/>
        <w:t>A pilot with one school and a small group of mentors, with a post-pilot review.</w:t>
      </w:r>
    </w:p>
    <w:p>
      <w:pPr>
        <w:pStyle w:val="Heading2"/>
        <w:pBdr>
          <w:top w:val="single" w:sz="18" w:space="6" w:color="FF8A3D"/>
        </w:pBdr>
        <w:spacing w:before="320"/>
      </w:pPr>
      <w:r>
        <w:rPr>
          <w:rFonts w:ascii="Courier New" w:hAnsi="Courier New"/>
          <w:b w:val="0"/>
          <w:color w:val="A8400A"/>
          <w:sz w:val="20"/>
        </w:rPr>
        <w:t xml:space="preserve">11  </w:t>
      </w:r>
      <w:r>
        <w:rPr/>
        <w:t>Document map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5"/>
        <w:gridCol w:w="8787"/>
      </w:tblGrid>
      <w:tr>
        <w:trPr>
          <w:tblHeader/>
          <w:cantSplit/>
        </w:trPr>
        <w:tc>
          <w:tcPr>
            <w:tcW w:type="dxa" w:w="100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87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DOCUMENT</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01</w:t>
            </w:r>
          </w:p>
        </w:tc>
        <w:tc>
          <w:tcPr>
            <w:tcW w:type="dxa" w:w="8787"/>
            <w:tcMar>
              <w:top w:w="50" w:type="dxa"/>
              <w:left w:w="90" w:type="dxa"/>
              <w:bottom w:w="60" w:type="dxa"/>
              <w:right w:w="90" w:type="dxa"/>
            </w:tcMar>
          </w:tcPr>
          <w:p>
            <w:pPr>
              <w:spacing w:before="0" w:after="0" w:line="252" w:lineRule="auto"/>
            </w:pPr>
            <w:r>
              <w:rPr>
                <w:rFonts w:ascii="Calibri" w:hAnsi="Calibri"/>
                <w:sz w:val="19"/>
              </w:rPr>
              <w:t>This charter</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02</w:t>
            </w:r>
          </w:p>
        </w:tc>
        <w:tc>
          <w:tcPr>
            <w:tcW w:type="dxa" w:w="8787"/>
            <w:tcMar>
              <w:top w:w="50" w:type="dxa"/>
              <w:left w:w="90" w:type="dxa"/>
              <w:bottom w:w="60" w:type="dxa"/>
              <w:right w:w="90" w:type="dxa"/>
            </w:tcMar>
          </w:tcPr>
          <w:p>
            <w:pPr>
              <w:spacing w:before="0" w:after="0" w:line="252" w:lineRule="auto"/>
            </w:pPr>
            <w:r>
              <w:rPr>
                <w:rFonts w:ascii="Calibri" w:hAnsi="Calibri"/>
                <w:sz w:val="19"/>
              </w:rPr>
              <w:t>Screening and background checks</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03</w:t>
            </w:r>
          </w:p>
        </w:tc>
        <w:tc>
          <w:tcPr>
            <w:tcW w:type="dxa" w:w="8787"/>
            <w:tcMar>
              <w:top w:w="50" w:type="dxa"/>
              <w:left w:w="90" w:type="dxa"/>
              <w:bottom w:w="60" w:type="dxa"/>
              <w:right w:w="90" w:type="dxa"/>
            </w:tcMar>
          </w:tcPr>
          <w:p>
            <w:pPr>
              <w:spacing w:before="0" w:after="0" w:line="252" w:lineRule="auto"/>
            </w:pPr>
            <w:r>
              <w:rPr>
                <w:rFonts w:ascii="Calibri" w:hAnsi="Calibri"/>
                <w:sz w:val="19"/>
              </w:rPr>
              <w:t>School-partner agreement and risk checklists</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04</w:t>
            </w:r>
          </w:p>
        </w:tc>
        <w:tc>
          <w:tcPr>
            <w:tcW w:type="dxa" w:w="8787"/>
            <w:tcMar>
              <w:top w:w="50" w:type="dxa"/>
              <w:left w:w="90" w:type="dxa"/>
              <w:bottom w:w="60" w:type="dxa"/>
              <w:right w:w="90" w:type="dxa"/>
            </w:tcMar>
          </w:tcPr>
          <w:p>
            <w:pPr>
              <w:spacing w:before="0" w:after="0" w:line="252" w:lineRule="auto"/>
            </w:pPr>
            <w:r>
              <w:rPr>
                <w:rFonts w:ascii="Calibri" w:hAnsi="Calibri"/>
                <w:sz w:val="19"/>
              </w:rPr>
              <w:t>Four-hour training curriculum</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05</w:t>
            </w:r>
          </w:p>
        </w:tc>
        <w:tc>
          <w:tcPr>
            <w:tcW w:type="dxa" w:w="8787"/>
            <w:tcMar>
              <w:top w:w="50" w:type="dxa"/>
              <w:left w:w="90" w:type="dxa"/>
              <w:bottom w:w="60" w:type="dxa"/>
              <w:right w:w="90" w:type="dxa"/>
            </w:tcMar>
          </w:tcPr>
          <w:p>
            <w:pPr>
              <w:spacing w:before="0" w:after="0" w:line="252" w:lineRule="auto"/>
            </w:pPr>
            <w:r>
              <w:rPr>
                <w:rFonts w:ascii="Calibri" w:hAnsi="Calibri"/>
                <w:sz w:val="19"/>
              </w:rPr>
              <w:t>Code of conduct</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06</w:t>
            </w:r>
          </w:p>
        </w:tc>
        <w:tc>
          <w:tcPr>
            <w:tcW w:type="dxa" w:w="8787"/>
            <w:tcMar>
              <w:top w:w="50" w:type="dxa"/>
              <w:left w:w="90" w:type="dxa"/>
              <w:bottom w:w="60" w:type="dxa"/>
              <w:right w:w="90" w:type="dxa"/>
            </w:tcMar>
          </w:tcPr>
          <w:p>
            <w:pPr>
              <w:spacing w:before="0" w:after="0" w:line="252" w:lineRule="auto"/>
            </w:pPr>
            <w:r>
              <w:rPr>
                <w:rFonts w:ascii="Calibri" w:hAnsi="Calibri"/>
                <w:sz w:val="19"/>
              </w:rPr>
              <w:t>Incident and disclosure forms</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07</w:t>
            </w:r>
          </w:p>
        </w:tc>
        <w:tc>
          <w:tcPr>
            <w:tcW w:type="dxa" w:w="8787"/>
            <w:tcMar>
              <w:top w:w="50" w:type="dxa"/>
              <w:left w:w="90" w:type="dxa"/>
              <w:bottom w:w="60" w:type="dxa"/>
              <w:right w:w="90" w:type="dxa"/>
            </w:tcMar>
          </w:tcPr>
          <w:p>
            <w:pPr>
              <w:spacing w:before="0" w:after="0" w:line="252" w:lineRule="auto"/>
            </w:pPr>
            <w:r>
              <w:rPr>
                <w:rFonts w:ascii="Calibri" w:hAnsi="Calibri"/>
                <w:sz w:val="19"/>
              </w:rPr>
              <w:t>Service hours, badges and certificates</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08</w:t>
            </w:r>
          </w:p>
        </w:tc>
        <w:tc>
          <w:tcPr>
            <w:tcW w:type="dxa" w:w="8787"/>
            <w:tcMar>
              <w:top w:w="50" w:type="dxa"/>
              <w:left w:w="90" w:type="dxa"/>
              <w:bottom w:w="60" w:type="dxa"/>
              <w:right w:w="90" w:type="dxa"/>
            </w:tcMar>
          </w:tcPr>
          <w:p>
            <w:pPr>
              <w:spacing w:before="0" w:after="0" w:line="252" w:lineRule="auto"/>
            </w:pPr>
            <w:r>
              <w:rPr>
                <w:rFonts w:ascii="Calibri" w:hAnsi="Calibri"/>
                <w:sz w:val="19"/>
              </w:rPr>
              <w:t>Recruiting copy</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09</w:t>
            </w:r>
          </w:p>
        </w:tc>
        <w:tc>
          <w:tcPr>
            <w:tcW w:type="dxa" w:w="8787"/>
            <w:tcMar>
              <w:top w:w="50" w:type="dxa"/>
              <w:left w:w="90" w:type="dxa"/>
              <w:bottom w:w="60" w:type="dxa"/>
              <w:right w:w="90" w:type="dxa"/>
            </w:tcMar>
          </w:tcPr>
          <w:p>
            <w:pPr>
              <w:spacing w:before="0" w:after="0" w:line="252" w:lineRule="auto"/>
            </w:pPr>
            <w:r>
              <w:rPr>
                <w:rFonts w:ascii="Calibri" w:hAnsi="Calibri"/>
                <w:sz w:val="19"/>
              </w:rPr>
              <w:t>Faculty advisor guide</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10</w:t>
            </w:r>
          </w:p>
        </w:tc>
        <w:tc>
          <w:tcPr>
            <w:tcW w:type="dxa" w:w="8787"/>
            <w:tcMar>
              <w:top w:w="50" w:type="dxa"/>
              <w:left w:w="90" w:type="dxa"/>
              <w:bottom w:w="60" w:type="dxa"/>
              <w:right w:w="90" w:type="dxa"/>
            </w:tcMar>
          </w:tcPr>
          <w:p>
            <w:pPr>
              <w:spacing w:before="0" w:after="0" w:line="252" w:lineRule="auto"/>
            </w:pPr>
            <w:r>
              <w:rPr>
                <w:rFonts w:ascii="Calibri" w:hAnsi="Calibri"/>
                <w:sz w:val="19"/>
              </w:rPr>
              <w:t>Semester calendar</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11</w:t>
            </w:r>
          </w:p>
        </w:tc>
        <w:tc>
          <w:tcPr>
            <w:tcW w:type="dxa" w:w="8787"/>
            <w:tcMar>
              <w:top w:w="50" w:type="dxa"/>
              <w:left w:w="90" w:type="dxa"/>
              <w:bottom w:w="60" w:type="dxa"/>
              <w:right w:w="90" w:type="dxa"/>
            </w:tcMar>
          </w:tcPr>
          <w:p>
            <w:pPr>
              <w:spacing w:before="0" w:after="0" w:line="252" w:lineRule="auto"/>
            </w:pPr>
            <w:r>
              <w:rPr>
                <w:rFonts w:ascii="Calibri" w:hAnsi="Calibri"/>
                <w:sz w:val="19"/>
              </w:rPr>
              <w:t>Impact tracker (aggregate counts only)</w:t>
            </w:r>
          </w:p>
        </w:tc>
      </w:tr>
      <w:tr>
        <w:trPr>
          <w:cantSplit/>
        </w:trPr>
        <w:tc>
          <w:tcPr>
            <w:tcW w:type="dxa" w:w="1005"/>
            <w:tcMar>
              <w:top w:w="50" w:type="dxa"/>
              <w:left w:w="0" w:type="dxa"/>
              <w:bottom w:w="60" w:type="dxa"/>
              <w:right w:w="90" w:type="dxa"/>
            </w:tcMar>
          </w:tcPr>
          <w:p>
            <w:pPr>
              <w:spacing w:before="0" w:after="0" w:line="252" w:lineRule="auto"/>
            </w:pPr>
            <w:r>
              <w:rPr>
                <w:rFonts w:ascii="Calibri" w:hAnsi="Calibri"/>
                <w:sz w:val="19"/>
              </w:rPr>
              <w:t>12</w:t>
            </w:r>
          </w:p>
        </w:tc>
        <w:tc>
          <w:tcPr>
            <w:tcW w:type="dxa" w:w="8787"/>
            <w:tcMar>
              <w:top w:w="50" w:type="dxa"/>
              <w:left w:w="90" w:type="dxa"/>
              <w:bottom w:w="60" w:type="dxa"/>
              <w:right w:w="90" w:type="dxa"/>
            </w:tcMar>
          </w:tcPr>
          <w:p>
            <w:pPr>
              <w:spacing w:before="0" w:after="0" w:line="252" w:lineRule="auto"/>
            </w:pPr>
            <w:r>
              <w:rPr>
                <w:rFonts w:ascii="Calibri" w:hAnsi="Calibri"/>
                <w:sz w:val="19"/>
              </w:rPr>
              <w:t>Press and recognition templates</w:t>
            </w:r>
          </w:p>
        </w:tc>
      </w:tr>
    </w:tbl>
    <w:p>
      <w:pPr>
        <w:spacing w:before="0" w:after="0" w:line="160" w:lineRule="exact"/>
      </w:pPr>
      <w:r>
        <w:rPr>
          <w:sz w:val="2"/>
        </w:rPr>
      </w:r>
    </w:p>
    <w:p>
      <w:r>
        <w:rPr>
          <w:i/>
        </w:rPr>
        <w:t>Hackles has not been evaluated in a controlled study. It does not replace a school's safeguarding procedures or professional advice. Mentors are not employees or agents of Competence Collective [COUNSEL TO CONFIRM].</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MENTORS · PROGRAM CHARTER, ROLES AND ELIGI...</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Mentors · Program Charter, Roles and Eligibility</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