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276649" cy="457200"/>
            <wp:docPr id="1" name="Picture 1" descr="Hackl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6649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4" w:color="2B2D42"/>
        </w:pBdr>
        <w:spacing w:before="0" w:after="120"/>
      </w:pPr>
    </w:p>
    <w:p>
      <w:pPr>
        <w:spacing w:before="120" w:after="40" w:line="240" w:lineRule="auto"/>
      </w:pPr>
      <w:r>
        <w:rPr>
          <w:rFonts w:ascii="Georgia" w:hAnsi="Georgia"/>
          <w:b/>
          <w:color w:val="2B2D42"/>
          <w:sz w:val="56"/>
        </w:rPr>
        <w:t>Hackles Mentors · Screening and Background Checks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26"/>
        </w:rPr>
        <w:t>The Hackles Kit</w:t>
      </w:r>
    </w:p>
    <w:p>
      <w:pPr>
        <w:spacing w:before="0" w:after="240"/>
      </w:pPr>
      <w:r>
        <w:rPr>
          <w:rFonts w:ascii="Calibri" w:hAnsi="Calibri"/>
          <w:color w:val="5A5C70"/>
          <w:sz w:val="17"/>
        </w:rPr>
        <w:t>A free kit by Competence Collective · competencecollective.org · October 2026</w:t>
      </w:r>
    </w:p>
    <w:p>
      <w:r>
        <w:rPr>
          <w:i/>
        </w:rPr>
        <w:t>(c) 2026 Competence Collective. Lesson text and teaching materials CC BY-NC 4.0. The Hackles name, logos, characters and artwork are not covered by that license: print and share them unaltered for classroom and family use; any other use needs written permission. [VERIFY with counsel]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Status: DRAFT.</w:t>
            </w:r>
            <w:r>
              <w:rPr>
                <w:sz w:val="19"/>
              </w:rPr>
              <w:t xml:space="preserve"> Screening rules for people who work with minors depend on state law, school district policy, the host's own rules and the college's minors-contact policy. Everything here is a framework for your HR office and counsel to adapt. [COUNSEL/HR TO CONFIRM] Nothing here is legal advice. No mentor contacts any child before every step is complete.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Bdr>
          <w:bottom w:val="single" w:sz="6" w:space="1" w:color="8C8672"/>
        </w:pBdr>
        <w:spacing w:before="40" w:after="120"/>
      </w:pP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01  </w:t>
      </w:r>
      <w:r>
        <w:rPr/>
        <w:t>Principles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The strictest applicable rule governs.</w:t>
      </w:r>
      <w:r>
        <w:rPr/>
        <w:t xml:space="preserve"> If the school, district, state or college requires more than this document, follow that.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Screening is a process, and a check is one part of it.</w:t>
      </w:r>
      <w:r>
        <w:rPr/>
        <w:t xml:space="preserve"> Applications, an interview, references, training and ongoing supervision all matter. A clean record does not mean a safe person.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Fair and consistent.</w:t>
      </w:r>
      <w:r>
        <w:rPr/>
        <w:t xml:space="preserve"> Apply the same steps to every applicant. Follow fair-chance and consumer-reporting rules [COUNSEL/HR TO CONFIRM; VERIFY federal and state law].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Privacy.</w:t>
      </w:r>
      <w:r>
        <w:rPr/>
        <w:t xml:space="preserve"> Keep screening records in a locked or access-limited system with a retention period set by HR [LOCAL]. Share results only with people who need them. The impact tracker never contains screening data.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02  </w:t>
      </w:r>
      <w:r>
        <w:rPr/>
        <w:t>Steps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656"/>
        <w:gridCol w:w="4313"/>
        <w:gridCol w:w="1892"/>
        <w:gridCol w:w="2931"/>
      </w:tblGrid>
      <w:tr>
        <w:trPr>
          <w:tblHeader/>
          <w:cantSplit/>
        </w:trPr>
        <w:tc>
          <w:tcPr>
            <w:tcW w:type="dxa" w:w="656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STEP</w:t>
            </w:r>
          </w:p>
        </w:tc>
        <w:tc>
          <w:tcPr>
            <w:tcW w:type="dxa" w:w="431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WHAT</w:t>
            </w:r>
          </w:p>
        </w:tc>
        <w:tc>
          <w:tcPr>
            <w:tcW w:type="dxa" w:w="189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OWNER</w:t>
            </w:r>
          </w:p>
        </w:tc>
        <w:tc>
          <w:tcPr>
            <w:tcW w:type="dxa" w:w="293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65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43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Application</w:t>
            </w:r>
            <w:r>
              <w:rPr>
                <w:rFonts w:ascii="Calibri" w:hAnsi="Calibri"/>
                <w:sz w:val="19"/>
              </w:rPr>
              <w:t xml:space="preserve"> (short form): name, contact, major, year, why you want to volunteer, availability, relevant experience, two references (one academic or work, one other adult who is not a relative)</w:t>
            </w:r>
          </w:p>
        </w:tc>
        <w:tc>
          <w:tcPr>
            <w:tcW w:type="dxa" w:w="189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Applicant</w:t>
            </w:r>
          </w:p>
        </w:tc>
        <w:tc>
          <w:tcPr>
            <w:tcW w:type="dxa" w:w="29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 question about disability, family status, immigration status or protected characteristics</w:t>
            </w:r>
          </w:p>
        </w:tc>
      </w:tr>
      <w:tr>
        <w:trPr>
          <w:cantSplit/>
        </w:trPr>
        <w:tc>
          <w:tcPr>
            <w:tcW w:type="dxa" w:w="65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43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Interview</w:t>
            </w:r>
            <w:r>
              <w:rPr>
                <w:rFonts w:ascii="Calibri" w:hAnsi="Calibri"/>
                <w:sz w:val="19"/>
              </w:rPr>
              <w:t xml:space="preserve"> (15 to 20 minutes, by two people, in person or video): scenario questions in Section 4</w:t>
            </w:r>
          </w:p>
        </w:tc>
        <w:tc>
          <w:tcPr>
            <w:tcW w:type="dxa" w:w="189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Coordinator and advisor</w:t>
            </w:r>
          </w:p>
        </w:tc>
        <w:tc>
          <w:tcPr>
            <w:tcW w:type="dxa" w:w="29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Use the same questions for everyone</w:t>
            </w:r>
          </w:p>
        </w:tc>
      </w:tr>
      <w:tr>
        <w:trPr>
          <w:cantSplit/>
        </w:trPr>
        <w:tc>
          <w:tcPr>
            <w:tcW w:type="dxa" w:w="65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43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References</w:t>
            </w:r>
            <w:r>
              <w:rPr>
                <w:rFonts w:ascii="Calibri" w:hAnsi="Calibri"/>
                <w:sz w:val="19"/>
              </w:rPr>
              <w:t xml:space="preserve"> (two, by short phone call or form)</w:t>
            </w:r>
          </w:p>
        </w:tc>
        <w:tc>
          <w:tcPr>
            <w:tcW w:type="dxa" w:w="189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Coordinator</w:t>
            </w:r>
          </w:p>
        </w:tc>
        <w:tc>
          <w:tcPr>
            <w:tcW w:type="dxa" w:w="29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Ask: "Would you trust this person with a group of children? Why?" and "Is there anything we should know?"</w:t>
            </w:r>
          </w:p>
        </w:tc>
      </w:tr>
      <w:tr>
        <w:trPr>
          <w:cantSplit/>
        </w:trPr>
        <w:tc>
          <w:tcPr>
            <w:tcW w:type="dxa" w:w="65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43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Background check</w:t>
            </w:r>
            <w:r>
              <w:rPr>
                <w:rFonts w:ascii="Calibri" w:hAnsi="Calibri"/>
                <w:sz w:val="19"/>
              </w:rPr>
              <w:t xml:space="preserve"> as required by the minors-contact policy and the host school</w:t>
            </w:r>
          </w:p>
        </w:tc>
        <w:tc>
          <w:tcPr>
            <w:tcW w:type="dxa" w:w="189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HR or the vendor chosen by the college [LOCAL]</w:t>
            </w:r>
          </w:p>
        </w:tc>
        <w:tc>
          <w:tcPr>
            <w:tcW w:type="dxa" w:w="29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Section 3</w:t>
            </w:r>
          </w:p>
        </w:tc>
      </w:tr>
      <w:tr>
        <w:trPr>
          <w:cantSplit/>
        </w:trPr>
        <w:tc>
          <w:tcPr>
            <w:tcW w:type="dxa" w:w="65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43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Agreement</w:t>
            </w:r>
            <w:r>
              <w:rPr>
                <w:rFonts w:ascii="Calibri" w:hAnsi="Calibri"/>
                <w:sz w:val="19"/>
              </w:rPr>
              <w:t xml:space="preserve"> to the code of conduct, mandated-reporter acknowledgment and photo and social-media rules</w:t>
            </w:r>
          </w:p>
        </w:tc>
        <w:tc>
          <w:tcPr>
            <w:tcW w:type="dxa" w:w="189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Applicant</w:t>
            </w:r>
          </w:p>
        </w:tc>
        <w:tc>
          <w:tcPr>
            <w:tcW w:type="dxa" w:w="29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Document 05</w:t>
            </w:r>
          </w:p>
        </w:tc>
      </w:tr>
      <w:tr>
        <w:trPr>
          <w:cantSplit/>
        </w:trPr>
        <w:tc>
          <w:tcPr>
            <w:tcW w:type="dxa" w:w="65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43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Training</w:t>
            </w:r>
            <w:r>
              <w:rPr>
                <w:rFonts w:ascii="Calibri" w:hAnsi="Calibri"/>
                <w:sz w:val="19"/>
              </w:rPr>
              <w:t xml:space="preserve"> (four hours) with live practice, and the sign-off from the trainer</w:t>
            </w:r>
          </w:p>
        </w:tc>
        <w:tc>
          <w:tcPr>
            <w:tcW w:type="dxa" w:w="189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Trainer</w:t>
            </w:r>
          </w:p>
        </w:tc>
        <w:tc>
          <w:tcPr>
            <w:tcW w:type="dxa" w:w="29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Document 04</w:t>
            </w:r>
          </w:p>
        </w:tc>
      </w:tr>
      <w:tr>
        <w:trPr>
          <w:cantSplit/>
        </w:trPr>
        <w:tc>
          <w:tcPr>
            <w:tcW w:type="dxa" w:w="65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43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Host school clearance</w:t>
            </w:r>
            <w:r>
              <w:rPr>
                <w:rFonts w:ascii="Calibri" w:hAnsi="Calibri"/>
                <w:sz w:val="19"/>
              </w:rPr>
              <w:t xml:space="preserve"> if the school requires its own (for example, fingerprinting, a district form or a volunteer badge)</w:t>
            </w:r>
          </w:p>
        </w:tc>
        <w:tc>
          <w:tcPr>
            <w:tcW w:type="dxa" w:w="189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Applicant and school</w:t>
            </w:r>
          </w:p>
        </w:tc>
        <w:tc>
          <w:tcPr>
            <w:tcW w:type="dxa" w:w="29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Done before the first event [VERIFY the host's rules]</w:t>
            </w:r>
          </w:p>
        </w:tc>
      </w:tr>
      <w:tr>
        <w:trPr>
          <w:cantSplit/>
        </w:trPr>
        <w:tc>
          <w:tcPr>
            <w:tcW w:type="dxa" w:w="65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43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Placement</w:t>
            </w:r>
            <w:r>
              <w:rPr>
                <w:rFonts w:ascii="Calibri" w:hAnsi="Calibri"/>
                <w:sz w:val="19"/>
              </w:rPr>
              <w:t xml:space="preserve"> with a Station Lead and a start date</w:t>
            </w:r>
          </w:p>
        </w:tc>
        <w:tc>
          <w:tcPr>
            <w:tcW w:type="dxa" w:w="189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Coordinator</w:t>
            </w:r>
          </w:p>
        </w:tc>
        <w:tc>
          <w:tcPr>
            <w:tcW w:type="dxa" w:w="29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First event is a shadow event with a Station Lead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03  </w:t>
      </w:r>
      <w:r>
        <w:rPr/>
        <w:t>Background checks (framework)</w:t>
      </w:r>
    </w:p>
    <w:p>
      <w:r>
        <w:rPr/>
        <w:t>[COUNSEL/HR TO CONFIRM every line.]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756"/>
        <w:gridCol w:w="5105"/>
        <w:gridCol w:w="2931"/>
      </w:tblGrid>
      <w:tr>
        <w:trPr>
          <w:tblHeader/>
          <w:cantSplit/>
        </w:trPr>
        <w:tc>
          <w:tcPr>
            <w:tcW w:type="dxa" w:w="1756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CHECK</w:t>
            </w:r>
          </w:p>
        </w:tc>
        <w:tc>
          <w:tcPr>
            <w:tcW w:type="dxa" w:w="510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TYPICAL REQUIREMENT FOR PEOPLE WHO WORK WITH MINORS</w:t>
            </w:r>
          </w:p>
        </w:tc>
        <w:tc>
          <w:tcPr>
            <w:tcW w:type="dxa" w:w="293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NOTES</w:t>
            </w:r>
          </w:p>
        </w:tc>
      </w:tr>
      <w:tr>
        <w:trPr>
          <w:cantSplit/>
          <w:trHeight w:val="432"/>
        </w:trPr>
        <w:tc>
          <w:tcPr>
            <w:tcW w:type="dxa" w:w="175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Identity verification</w:t>
            </w:r>
          </w:p>
        </w:tc>
        <w:tc>
          <w:tcPr>
            <w:tcW w:type="dxa" w:w="51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Government or college photo ID</w:t>
            </w:r>
          </w:p>
        </w:tc>
        <w:tc>
          <w:tcPr>
            <w:tcW w:type="dxa" w:w="29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175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National or state criminal history</w:t>
            </w:r>
          </w:p>
        </w:tc>
        <w:tc>
          <w:tcPr>
            <w:tcW w:type="dxa" w:w="51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Name-based or fingerprint-based, depending on the host's rules and state law [VERIFY]</w:t>
            </w:r>
          </w:p>
        </w:tc>
        <w:tc>
          <w:tcPr>
            <w:tcW w:type="dxa" w:w="29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Some districts require fingerprinting for any volunteer who is around students</w:t>
            </w:r>
          </w:p>
        </w:tc>
      </w:tr>
      <w:tr>
        <w:trPr>
          <w:cantSplit/>
          <w:trHeight w:val="432"/>
        </w:trPr>
        <w:tc>
          <w:tcPr>
            <w:tcW w:type="dxa" w:w="175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Sex offender registry</w:t>
            </w:r>
          </w:p>
        </w:tc>
        <w:tc>
          <w:tcPr>
            <w:tcW w:type="dxa" w:w="51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National and state registry search [VERIFY]</w:t>
            </w:r>
          </w:p>
        </w:tc>
        <w:tc>
          <w:tcPr>
            <w:tcW w:type="dxa" w:w="29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75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Child abuse and neglect registry</w:t>
            </w:r>
          </w:p>
        </w:tc>
        <w:tc>
          <w:tcPr>
            <w:tcW w:type="dxa" w:w="51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If the state allows access for volunteers [VERIFY]</w:t>
            </w:r>
          </w:p>
        </w:tc>
        <w:tc>
          <w:tcPr>
            <w:tcW w:type="dxa" w:w="29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75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College conduct record</w:t>
            </w:r>
          </w:p>
        </w:tc>
        <w:tc>
          <w:tcPr>
            <w:tcW w:type="dxa" w:w="51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Review for relevant history, such as misconduct involving harm to others, according to the college's policy [COUNSEL/HR TO CONFIRM; FERPA and fairness rules apply]</w:t>
            </w:r>
          </w:p>
        </w:tc>
        <w:tc>
          <w:tcPr>
            <w:tcW w:type="dxa" w:w="29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75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Renewal</w:t>
            </w:r>
          </w:p>
        </w:tc>
        <w:tc>
          <w:tcPr>
            <w:tcW w:type="dxa" w:w="51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Every [1 to 2] years, or as the school requires, and whenever a mentor is arrested or charged [COUNSEL/HR TO CONFIRM duty to self-report]</w:t>
            </w:r>
          </w:p>
        </w:tc>
        <w:tc>
          <w:tcPr>
            <w:tcW w:type="dxa" w:w="29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Who pays.</w:t>
      </w:r>
      <w:r>
        <w:rPr/>
        <w:t xml:space="preserve"> Options include the college's student-engagement budget, the school partner, a grant, or the student. Do not make payment a barrier. [LOCAL decision; HR TO CONFIRM]</w:t>
      </w:r>
    </w:p>
    <w:p>
      <w:r>
        <w:rPr>
          <w:b/>
        </w:rPr>
        <w:t>Consent and process.</w:t>
      </w:r>
      <w:r>
        <w:rPr/>
        <w:t xml:space="preserve"> The applicant gives written consent for any check. If a check shows something that could disqualify the applicant, the college follows its adverse-action process, including written notice and a chance to respond, as required by law and policy [COUNSEL/HR TO CONFIRM; VERIFY FCRA and state fair-chance requirements].</w:t>
      </w:r>
    </w:p>
    <w:p>
      <w:r>
        <w:rPr>
          <w:b/>
        </w:rPr>
        <w:t>Status of mentors.</w:t>
      </w:r>
      <w:r>
        <w:rPr/>
        <w:t xml:space="preserve"> Whether a mentor is a volunteer, a student worker, an intern or a service-learning participant affects workers' compensation, minimum wage and liability rules [COUNSEL/HR TO CONFIRM]. Record the status for each mentor.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04  </w:t>
      </w:r>
      <w:r>
        <w:rPr/>
        <w:t>Interview questions (scored by a common rubric, 0 to 2 each)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Tell us about a time you worked with children or teens, or helped a younger person learn something.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A child at your station quietly says, "My cousin online asked me to keep a secret." What do you do in the first minute? (Look for: stay calm, thank them, do not promise secrecy, tell the staff member present.)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A fourth grader asks for your phone number so you can answer their question later. What do you say? (Look for: friendly no, point to the teacher.)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/>
        <w:t>The teacher steps out for two minutes and you are alone in the room with six children. What do you do? (Look for: go with the children to find the teacher or bring in another adult; do not stay alone.)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5. </w:t>
      </w:r>
      <w:r>
        <w:rPr/>
        <w:t>A child hugs you. How do you handle it? (Look for: a high-five or wave alternative; follow the school's policy; do not shame the child.)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6. </w:t>
      </w:r>
      <w:r>
        <w:rPr/>
        <w:t>How would you feel about helping children even if you cannot post about it?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7. </w:t>
      </w:r>
      <w:r>
        <w:rPr/>
        <w:t>What questions do you have about our rules?</w:t>
      </w:r>
    </w:p>
    <w:p>
      <w:r>
        <w:rPr>
          <w:b/>
        </w:rPr>
        <w:t>Concerns that pause an application:</w:t>
      </w:r>
      <w:r>
        <w:rPr/>
        <w:t xml:space="preserve"> reluctance to follow the rules, wanting private contact with children, evasive references, or a disrespectful attitude to the boundaries. Pause and consult the advisor.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05  </w:t>
      </w:r>
      <w:r>
        <w:rPr/>
        <w:t>Decision and records</w:t>
      </w:r>
    </w:p>
    <w:p>
      <w:pPr>
        <w:pStyle w:val="ListBullet"/>
      </w:pPr>
      <w:r>
        <w:rPr/>
        <w:t>The coordinator and advisor decide together, using the rubric, references, check results and training sign-off.</w:t>
      </w:r>
    </w:p>
    <w:p>
      <w:pPr>
        <w:pStyle w:val="ListBullet"/>
      </w:pPr>
      <w:r>
        <w:rPr/>
        <w:t>Applicants get a plain-language answer. A decision not to place is not a judgment of character. Offer other roles, such as materials, art, planning or data tally, which do not involve contact with children.</w:t>
      </w:r>
    </w:p>
    <w:p>
      <w:pPr>
        <w:pStyle w:val="ListBullet"/>
      </w:pPr>
      <w:r>
        <w:rPr/>
        <w:t>Keep: application, rubric, references, consent form, check results (by HR or the vendor), agreement, training sign-off and placement record. Keep out of the tracker.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06  </w:t>
      </w:r>
      <w:r>
        <w:rPr/>
        <w:t>Ongoing monitoring</w:t>
      </w:r>
    </w:p>
    <w:p>
      <w:pPr>
        <w:pStyle w:val="ListBullet"/>
      </w:pPr>
      <w:r>
        <w:rPr/>
        <w:t>A Station Lead observes every new mentor at the first event and signs off.</w:t>
      </w:r>
    </w:p>
    <w:p>
      <w:pPr>
        <w:pStyle w:val="ListBullet"/>
      </w:pPr>
      <w:r>
        <w:rPr/>
        <w:t>Mentors submit an end-of-event check-in (Document 06, Form E).</w:t>
      </w:r>
    </w:p>
    <w:p>
      <w:pPr>
        <w:pStyle w:val="ListBullet"/>
      </w:pPr>
      <w:r>
        <w:rPr/>
        <w:t>Refresher training every [semester or year].</w:t>
      </w:r>
    </w:p>
    <w:p>
      <w:pPr>
        <w:pStyle w:val="ListBullet"/>
      </w:pPr>
      <w:r>
        <w:rPr/>
        <w:t>Any breach, concern or complaint is reported immediately using Document 06.</w:t>
      </w:r>
    </w:p>
    <w:p>
      <w:pPr>
        <w:pStyle w:val="ListBullet"/>
      </w:pPr>
      <w:r>
        <w:rPr/>
        <w:t>Renewal checks are done on schedule.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07  </w:t>
      </w:r>
      <w:r>
        <w:rPr/>
        <w:t>Checklist for the coordinator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Application received and reviewed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Interview done by two people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Two references completed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Consent form signed and background checks requested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Check results reviewed by HR [COUNSEL/HR TO CONFIRM]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Host school clearance complete [if required]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Code of conduct signed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Training attended and signed off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Placement and Station Lead assigned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First event shadowed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Renewal date set</w:t>
      </w:r>
    </w:p>
    <w:p>
      <w:r>
        <w:rPr>
          <w:i/>
        </w:rPr>
        <w:t>Hackles has not been evaluated in a controlled study. This is a framework and does not replace the advice of counsel or HR.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3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HACKLES MENTORS · SCREENING AND BACKGROUND CHECKS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 Mentors · Screening and Background Checks</dc:title>
  <dc:subject>The Hackles Kit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