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Hackles Mentors · Faculty Advisor Guide</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A free kit by Competence Collective · competencecollective.org · October 2026</w:t>
      </w:r>
    </w:p>
    <w:p>
      <w:r>
        <w:rPr>
          <w:i/>
        </w:rPr>
        <w:t>(c)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Status: DRAFT.</w:t>
            </w:r>
            <w:r>
              <w:rPr>
                <w:sz w:val="19"/>
              </w:rPr>
              <w:t xml:space="preserve"> Role, workload and liability points depend on your college's policies. [COUNSEL/HR TO CONFIRM]</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Why you are here</w:t>
      </w:r>
    </w:p>
    <w:p>
      <w:r>
        <w:rPr/>
        <w:t>A faculty or staff advisor gives the program its academic home, its second pair of eyes and its continuity from one semester to the next. You do not run every event. You make sure the program is safe, educational and well documented.</w:t>
      </w:r>
    </w:p>
    <w:p>
      <w:pPr>
        <w:pStyle w:val="Heading2"/>
        <w:pBdr>
          <w:top w:val="single" w:sz="18" w:space="6" w:color="FF8A3D"/>
        </w:pBdr>
        <w:spacing w:before="320"/>
      </w:pPr>
      <w:r>
        <w:rPr>
          <w:rFonts w:ascii="Courier New" w:hAnsi="Courier New"/>
          <w:b w:val="0"/>
          <w:color w:val="A8400A"/>
          <w:sz w:val="20"/>
        </w:rPr>
        <w:t xml:space="preserve">02  </w:t>
      </w:r>
      <w:r>
        <w:rPr/>
        <w:t>Time commitment (typical)</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524"/>
        <w:gridCol w:w="3268"/>
      </w:tblGrid>
      <w:tr>
        <w:trPr>
          <w:tblHeader/>
          <w:cantSplit/>
        </w:trPr>
        <w:tc>
          <w:tcPr>
            <w:tcW w:type="dxa" w:w="652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TASK</w:t>
            </w:r>
          </w:p>
        </w:tc>
        <w:tc>
          <w:tcPr>
            <w:tcW w:type="dxa" w:w="326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HOURS PER SEMESTER</w:t>
            </w:r>
          </w:p>
        </w:tc>
      </w:tr>
      <w:tr>
        <w:trPr>
          <w:cantSplit/>
        </w:trPr>
        <w:tc>
          <w:tcPr>
            <w:tcW w:type="dxa" w:w="6524"/>
            <w:tcMar>
              <w:top w:w="50" w:type="dxa"/>
              <w:left w:w="0" w:type="dxa"/>
              <w:bottom w:w="60" w:type="dxa"/>
              <w:right w:w="90" w:type="dxa"/>
            </w:tcMar>
          </w:tcPr>
          <w:p>
            <w:pPr>
              <w:spacing w:before="0" w:after="0" w:line="252" w:lineRule="auto"/>
            </w:pPr>
            <w:r>
              <w:rPr>
                <w:rFonts w:ascii="Calibri" w:hAnsi="Calibri"/>
                <w:sz w:val="19"/>
              </w:rPr>
              <w:t>Review the charter, code and forms once</w:t>
            </w:r>
          </w:p>
        </w:tc>
        <w:tc>
          <w:tcPr>
            <w:tcW w:type="dxa" w:w="3268"/>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6524"/>
            <w:tcMar>
              <w:top w:w="50" w:type="dxa"/>
              <w:left w:w="0" w:type="dxa"/>
              <w:bottom w:w="60" w:type="dxa"/>
              <w:right w:w="90" w:type="dxa"/>
            </w:tcMar>
          </w:tcPr>
          <w:p>
            <w:pPr>
              <w:spacing w:before="0" w:after="0" w:line="252" w:lineRule="auto"/>
            </w:pPr>
            <w:r>
              <w:rPr>
                <w:rFonts w:ascii="Calibri" w:hAnsi="Calibri"/>
                <w:sz w:val="19"/>
              </w:rPr>
              <w:t>Attend or co-lead the four-hour training</w:t>
            </w:r>
          </w:p>
        </w:tc>
        <w:tc>
          <w:tcPr>
            <w:tcW w:type="dxa" w:w="3268"/>
            <w:tcMar>
              <w:top w:w="50" w:type="dxa"/>
              <w:left w:w="90" w:type="dxa"/>
              <w:bottom w:w="60" w:type="dxa"/>
              <w:right w:w="90" w:type="dxa"/>
            </w:tcMar>
          </w:tcPr>
          <w:p>
            <w:pPr>
              <w:spacing w:before="0" w:after="0" w:line="252" w:lineRule="auto"/>
            </w:pPr>
            <w:r>
              <w:rPr>
                <w:rFonts w:ascii="Calibri" w:hAnsi="Calibri"/>
                <w:sz w:val="19"/>
              </w:rPr>
              <w:t>4</w:t>
            </w:r>
          </w:p>
        </w:tc>
      </w:tr>
      <w:tr>
        <w:trPr>
          <w:cantSplit/>
        </w:trPr>
        <w:tc>
          <w:tcPr>
            <w:tcW w:type="dxa" w:w="6524"/>
            <w:tcMar>
              <w:top w:w="50" w:type="dxa"/>
              <w:left w:w="0" w:type="dxa"/>
              <w:bottom w:w="60" w:type="dxa"/>
              <w:right w:w="90" w:type="dxa"/>
            </w:tcMar>
          </w:tcPr>
          <w:p>
            <w:pPr>
              <w:spacing w:before="0" w:after="0" w:line="252" w:lineRule="auto"/>
            </w:pPr>
            <w:r>
              <w:rPr>
                <w:rFonts w:ascii="Calibri" w:hAnsi="Calibri"/>
                <w:sz w:val="19"/>
              </w:rPr>
              <w:t>Monthly check-in with the coordinator</w:t>
            </w:r>
          </w:p>
        </w:tc>
        <w:tc>
          <w:tcPr>
            <w:tcW w:type="dxa" w:w="3268"/>
            <w:tcMar>
              <w:top w:w="50" w:type="dxa"/>
              <w:left w:w="90" w:type="dxa"/>
              <w:bottom w:w="60" w:type="dxa"/>
              <w:right w:w="90" w:type="dxa"/>
            </w:tcMar>
          </w:tcPr>
          <w:p>
            <w:pPr>
              <w:spacing w:before="0" w:after="0" w:line="252" w:lineRule="auto"/>
            </w:pPr>
            <w:r>
              <w:rPr>
                <w:rFonts w:ascii="Calibri" w:hAnsi="Calibri"/>
                <w:sz w:val="19"/>
              </w:rPr>
              <w:t>4</w:t>
            </w:r>
          </w:p>
        </w:tc>
      </w:tr>
      <w:tr>
        <w:trPr>
          <w:cantSplit/>
        </w:trPr>
        <w:tc>
          <w:tcPr>
            <w:tcW w:type="dxa" w:w="6524"/>
            <w:tcMar>
              <w:top w:w="50" w:type="dxa"/>
              <w:left w:w="0" w:type="dxa"/>
              <w:bottom w:w="60" w:type="dxa"/>
              <w:right w:w="90" w:type="dxa"/>
            </w:tcMar>
          </w:tcPr>
          <w:p>
            <w:pPr>
              <w:spacing w:before="0" w:after="0" w:line="252" w:lineRule="auto"/>
            </w:pPr>
            <w:r>
              <w:rPr>
                <w:rFonts w:ascii="Calibri" w:hAnsi="Calibri"/>
                <w:sz w:val="19"/>
              </w:rPr>
              <w:t>Observe at least one event</w:t>
            </w:r>
          </w:p>
        </w:tc>
        <w:tc>
          <w:tcPr>
            <w:tcW w:type="dxa" w:w="3268"/>
            <w:tcMar>
              <w:top w:w="50" w:type="dxa"/>
              <w:left w:w="90" w:type="dxa"/>
              <w:bottom w:w="60" w:type="dxa"/>
              <w:right w:w="90" w:type="dxa"/>
            </w:tcMar>
          </w:tcPr>
          <w:p>
            <w:pPr>
              <w:spacing w:before="0" w:after="0" w:line="252" w:lineRule="auto"/>
            </w:pPr>
            <w:r>
              <w:rPr>
                <w:rFonts w:ascii="Calibri" w:hAnsi="Calibri"/>
                <w:sz w:val="19"/>
              </w:rPr>
              <w:t>4</w:t>
            </w:r>
          </w:p>
        </w:tc>
      </w:tr>
      <w:tr>
        <w:trPr>
          <w:cantSplit/>
        </w:trPr>
        <w:tc>
          <w:tcPr>
            <w:tcW w:type="dxa" w:w="6524"/>
            <w:tcMar>
              <w:top w:w="50" w:type="dxa"/>
              <w:left w:w="0" w:type="dxa"/>
              <w:bottom w:w="60" w:type="dxa"/>
              <w:right w:w="90" w:type="dxa"/>
            </w:tcMar>
          </w:tcPr>
          <w:p>
            <w:pPr>
              <w:spacing w:before="0" w:after="0" w:line="252" w:lineRule="auto"/>
            </w:pPr>
            <w:r>
              <w:rPr>
                <w:rFonts w:ascii="Calibri" w:hAnsi="Calibri"/>
                <w:sz w:val="19"/>
              </w:rPr>
              <w:t>Review incident forms and decisions</w:t>
            </w:r>
          </w:p>
        </w:tc>
        <w:tc>
          <w:tcPr>
            <w:tcW w:type="dxa" w:w="3268"/>
            <w:tcMar>
              <w:top w:w="50" w:type="dxa"/>
              <w:left w:w="90" w:type="dxa"/>
              <w:bottom w:w="60" w:type="dxa"/>
              <w:right w:w="90" w:type="dxa"/>
            </w:tcMar>
          </w:tcPr>
          <w:p>
            <w:pPr>
              <w:spacing w:before="0" w:after="0" w:line="252" w:lineRule="auto"/>
            </w:pPr>
            <w:r>
              <w:rPr>
                <w:rFonts w:ascii="Calibri" w:hAnsi="Calibri"/>
                <w:sz w:val="19"/>
              </w:rPr>
              <w:t>2 to 4</w:t>
            </w:r>
          </w:p>
        </w:tc>
      </w:tr>
      <w:tr>
        <w:trPr>
          <w:cantSplit/>
        </w:trPr>
        <w:tc>
          <w:tcPr>
            <w:tcW w:type="dxa" w:w="6524"/>
            <w:tcMar>
              <w:top w:w="50" w:type="dxa"/>
              <w:left w:w="0" w:type="dxa"/>
              <w:bottom w:w="60" w:type="dxa"/>
              <w:right w:w="90" w:type="dxa"/>
            </w:tcMar>
          </w:tcPr>
          <w:p>
            <w:pPr>
              <w:spacing w:before="0" w:after="0" w:line="252" w:lineRule="auto"/>
            </w:pPr>
            <w:r>
              <w:rPr>
                <w:rFonts w:ascii="Calibri" w:hAnsi="Calibri"/>
                <w:sz w:val="19"/>
              </w:rPr>
              <w:t>Read reflections and sign off hours and badges</w:t>
            </w:r>
          </w:p>
        </w:tc>
        <w:tc>
          <w:tcPr>
            <w:tcW w:type="dxa" w:w="3268"/>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6524"/>
            <w:tcMar>
              <w:top w:w="50" w:type="dxa"/>
              <w:left w:w="0" w:type="dxa"/>
              <w:bottom w:w="60" w:type="dxa"/>
              <w:right w:w="90" w:type="dxa"/>
            </w:tcMar>
          </w:tcPr>
          <w:p>
            <w:pPr>
              <w:spacing w:before="0" w:after="0" w:line="252" w:lineRule="auto"/>
            </w:pPr>
            <w:r>
              <w:rPr>
                <w:rFonts w:ascii="Calibri" w:hAnsi="Calibri"/>
                <w:sz w:val="19"/>
              </w:rPr>
              <w:t>End-of-semester debrief and report</w:t>
            </w:r>
          </w:p>
        </w:tc>
        <w:tc>
          <w:tcPr>
            <w:tcW w:type="dxa" w:w="3268"/>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6524"/>
            <w:tcMar>
              <w:top w:w="50" w:type="dxa"/>
              <w:left w:w="0" w:type="dxa"/>
              <w:bottom w:w="60" w:type="dxa"/>
              <w:right w:w="90" w:type="dxa"/>
            </w:tcMar>
          </w:tcPr>
          <w:p>
            <w:pPr>
              <w:spacing w:before="0" w:after="0" w:line="252" w:lineRule="auto"/>
            </w:pPr>
            <w:r>
              <w:rPr>
                <w:rFonts w:ascii="Calibri" w:hAnsi="Calibri"/>
                <w:b/>
                <w:sz w:val="19"/>
              </w:rPr>
              <w:t>Total</w:t>
            </w:r>
          </w:p>
        </w:tc>
        <w:tc>
          <w:tcPr>
            <w:tcW w:type="dxa" w:w="3268"/>
            <w:tcMar>
              <w:top w:w="50" w:type="dxa"/>
              <w:left w:w="90" w:type="dxa"/>
              <w:bottom w:w="60" w:type="dxa"/>
              <w:right w:w="90" w:type="dxa"/>
            </w:tcMar>
          </w:tcPr>
          <w:p>
            <w:pPr>
              <w:spacing w:before="0" w:after="0" w:line="252" w:lineRule="auto"/>
            </w:pPr>
            <w:r>
              <w:rPr>
                <w:rFonts w:ascii="Calibri" w:hAnsi="Calibri"/>
                <w:b/>
                <w:sz w:val="19"/>
              </w:rPr>
              <w:t>about 22 to 24</w:t>
            </w:r>
          </w:p>
        </w:tc>
      </w:tr>
    </w:tbl>
    <w:p>
      <w:pPr>
        <w:spacing w:before="0" w:after="0" w:line="160" w:lineRule="exact"/>
      </w:pPr>
      <w:r>
        <w:rPr>
          <w:sz w:val="2"/>
        </w:rPr>
      </w:r>
    </w:p>
    <w:p>
      <w:r>
        <w:rPr/>
        <w:t>Ask your department whether this counts as service, teaching load or a course component [LOCAL].</w:t>
      </w:r>
    </w:p>
    <w:p>
      <w:pPr>
        <w:pStyle w:val="Heading2"/>
        <w:pBdr>
          <w:top w:val="single" w:sz="18" w:space="6" w:color="FF8A3D"/>
        </w:pBdr>
        <w:spacing w:before="320"/>
      </w:pPr>
      <w:r>
        <w:rPr>
          <w:rFonts w:ascii="Courier New" w:hAnsi="Courier New"/>
          <w:b w:val="0"/>
          <w:color w:val="A8400A"/>
          <w:sz w:val="20"/>
        </w:rPr>
        <w:t xml:space="preserve">03  </w:t>
      </w:r>
      <w:r>
        <w:rPr/>
        <w:t>What you do</w:t>
      </w:r>
    </w:p>
    <w:p>
      <w:pPr>
        <w:spacing w:before="0" w:after="60"/>
        <w:ind w:left="504" w:hanging="360"/>
      </w:pPr>
      <w:r>
        <w:rPr>
          <w:b/>
          <w:color w:val="2F6F73"/>
        </w:rPr>
        <w:t xml:space="preserve">1. </w:t>
      </w:r>
      <w:r>
        <w:rPr>
          <w:b/>
        </w:rPr>
        <w:t>Approve the program yearly.</w:t>
      </w:r>
      <w:r>
        <w:rPr/>
        <w:t xml:space="preserve"> Confirm that counsel, HR and risk management have signed off on the current documents.</w:t>
      </w:r>
    </w:p>
    <w:p>
      <w:pPr>
        <w:spacing w:before="0" w:after="60"/>
        <w:ind w:left="504" w:hanging="360"/>
      </w:pPr>
      <w:r>
        <w:rPr>
          <w:b/>
          <w:color w:val="2F6F73"/>
        </w:rPr>
        <w:t xml:space="preserve">2. </w:t>
      </w:r>
      <w:r>
        <w:rPr>
          <w:b/>
        </w:rPr>
        <w:t>Co-train.</w:t>
      </w:r>
      <w:r>
        <w:rPr/>
        <w:t xml:space="preserve"> Co-lead the four-hour training with the counselor. Sign off mentors who meet the criteria.</w:t>
      </w:r>
    </w:p>
    <w:p>
      <w:pPr>
        <w:spacing w:before="0" w:after="60"/>
        <w:ind w:left="504" w:hanging="360"/>
      </w:pPr>
      <w:r>
        <w:rPr>
          <w:b/>
          <w:color w:val="2F6F73"/>
        </w:rPr>
        <w:t xml:space="preserve">3. </w:t>
      </w:r>
      <w:r>
        <w:rPr>
          <w:b/>
        </w:rPr>
        <w:t>Oversee screening.</w:t>
      </w:r>
      <w:r>
        <w:rPr/>
        <w:t xml:space="preserve"> Sit on the interview panel for a sample of applicants. Review decisions with the coordinator. You do not see background check results unless HR says you may [COUNSEL/HR TO CONFIRM].</w:t>
      </w:r>
    </w:p>
    <w:p>
      <w:pPr>
        <w:spacing w:before="0" w:after="60"/>
        <w:ind w:left="504" w:hanging="360"/>
      </w:pPr>
      <w:r>
        <w:rPr>
          <w:b/>
          <w:color w:val="2F6F73"/>
        </w:rPr>
        <w:t xml:space="preserve">4. </w:t>
      </w:r>
      <w:r>
        <w:rPr>
          <w:b/>
        </w:rPr>
        <w:t>Supervise the coordinator</w:t>
      </w:r>
      <w:r>
        <w:rPr/>
        <w:t>, if the coordinator is a student leader. A staff member must be reachable and responsible for every event.</w:t>
      </w:r>
    </w:p>
    <w:p>
      <w:pPr>
        <w:spacing w:before="0" w:after="60"/>
        <w:ind w:left="504" w:hanging="360"/>
      </w:pPr>
      <w:r>
        <w:rPr>
          <w:b/>
          <w:color w:val="2F6F73"/>
        </w:rPr>
        <w:t xml:space="preserve">5. </w:t>
      </w:r>
      <w:r>
        <w:rPr>
          <w:b/>
        </w:rPr>
        <w:t>Review incidents.</w:t>
      </w:r>
      <w:r>
        <w:rPr/>
        <w:t xml:space="preserve"> Read every report. Decide with the coordinator about removal, retraining and referral. Tell HR and counsel as the policy requires.</w:t>
      </w:r>
    </w:p>
    <w:p>
      <w:pPr>
        <w:spacing w:before="0" w:after="60"/>
        <w:ind w:left="504" w:hanging="360"/>
      </w:pPr>
      <w:r>
        <w:rPr>
          <w:b/>
          <w:color w:val="2F6F73"/>
        </w:rPr>
        <w:t xml:space="preserve">6. </w:t>
      </w:r>
      <w:r>
        <w:rPr>
          <w:b/>
        </w:rPr>
        <w:t>Connect to learning.</w:t>
      </w:r>
      <w:r>
        <w:rPr/>
        <w:t xml:space="preserve"> Tie service hours to a course, a capstone, a service-learning designation or the co-curricular transcript [LOCAL].</w:t>
      </w:r>
    </w:p>
    <w:p>
      <w:pPr>
        <w:spacing w:before="0" w:after="60"/>
        <w:ind w:left="504" w:hanging="360"/>
      </w:pPr>
      <w:r>
        <w:rPr>
          <w:b/>
          <w:color w:val="2F6F73"/>
        </w:rPr>
        <w:t xml:space="preserve">7. </w:t>
      </w:r>
      <w:r>
        <w:rPr>
          <w:b/>
        </w:rPr>
        <w:t>Read reflections.</w:t>
      </w:r>
      <w:r>
        <w:rPr/>
        <w:t xml:space="preserve"> Use them to improve the program.</w:t>
      </w:r>
    </w:p>
    <w:p>
      <w:pPr>
        <w:spacing w:before="0" w:after="60"/>
        <w:ind w:left="504" w:hanging="360"/>
      </w:pPr>
      <w:r>
        <w:rPr>
          <w:b/>
          <w:color w:val="2F6F73"/>
        </w:rPr>
        <w:t xml:space="preserve">8. </w:t>
      </w:r>
      <w:r>
        <w:rPr>
          <w:b/>
        </w:rPr>
        <w:t>Protect the relationship with schools.</w:t>
      </w:r>
      <w:r>
        <w:rPr/>
        <w:t xml:space="preserve"> Be the person school administrators can reach.</w:t>
      </w:r>
    </w:p>
    <w:p>
      <w:pPr>
        <w:pStyle w:val="Heading2"/>
        <w:pBdr>
          <w:top w:val="single" w:sz="18" w:space="6" w:color="FF8A3D"/>
        </w:pBdr>
        <w:spacing w:before="320"/>
      </w:pPr>
      <w:r>
        <w:rPr>
          <w:rFonts w:ascii="Courier New" w:hAnsi="Courier New"/>
          <w:b w:val="0"/>
          <w:color w:val="A8400A"/>
          <w:sz w:val="20"/>
        </w:rPr>
        <w:t xml:space="preserve">04  </w:t>
      </w:r>
      <w:r>
        <w:rPr/>
        <w:t>Linking to courses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874"/>
        <w:gridCol w:w="6918"/>
      </w:tblGrid>
      <w:tr>
        <w:trPr>
          <w:tblHeader/>
          <w:cantSplit/>
        </w:trPr>
        <w:tc>
          <w:tcPr>
            <w:tcW w:type="dxa" w:w="287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COURSE TYPE</w:t>
            </w:r>
          </w:p>
        </w:tc>
        <w:tc>
          <w:tcPr>
            <w:tcW w:type="dxa" w:w="691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 POSSIBLE LINK</w:t>
            </w:r>
          </w:p>
        </w:tc>
      </w:tr>
      <w:tr>
        <w:trPr>
          <w:cantSplit/>
        </w:trPr>
        <w:tc>
          <w:tcPr>
            <w:tcW w:type="dxa" w:w="2874"/>
            <w:tcMar>
              <w:top w:w="50" w:type="dxa"/>
              <w:left w:w="0" w:type="dxa"/>
              <w:bottom w:w="60" w:type="dxa"/>
              <w:right w:w="90" w:type="dxa"/>
            </w:tcMar>
          </w:tcPr>
          <w:p>
            <w:pPr>
              <w:spacing w:before="0" w:after="0" w:line="252" w:lineRule="auto"/>
            </w:pPr>
            <w:r>
              <w:rPr>
                <w:rFonts w:ascii="Calibri" w:hAnsi="Calibri"/>
                <w:sz w:val="19"/>
              </w:rPr>
              <w:t>First-year seminar or student success</w:t>
            </w:r>
          </w:p>
        </w:tc>
        <w:tc>
          <w:tcPr>
            <w:tcW w:type="dxa" w:w="6918"/>
            <w:tcMar>
              <w:top w:w="50" w:type="dxa"/>
              <w:left w:w="90" w:type="dxa"/>
              <w:bottom w:w="60" w:type="dxa"/>
              <w:right w:w="90" w:type="dxa"/>
            </w:tcMar>
          </w:tcPr>
          <w:p>
            <w:pPr>
              <w:spacing w:before="0" w:after="0" w:line="252" w:lineRule="auto"/>
            </w:pPr>
            <w:r>
              <w:rPr>
                <w:rFonts w:ascii="Calibri" w:hAnsi="Calibri"/>
                <w:sz w:val="19"/>
              </w:rPr>
              <w:t>Mentors serve as peer facilitators for the Campus Module sessions (Hackles College Edition, Part B) as a service project</w:t>
            </w:r>
          </w:p>
        </w:tc>
      </w:tr>
      <w:tr>
        <w:trPr>
          <w:cantSplit/>
        </w:trPr>
        <w:tc>
          <w:tcPr>
            <w:tcW w:type="dxa" w:w="2874"/>
            <w:tcMar>
              <w:top w:w="50" w:type="dxa"/>
              <w:left w:w="0" w:type="dxa"/>
              <w:bottom w:w="60" w:type="dxa"/>
              <w:right w:w="90" w:type="dxa"/>
            </w:tcMar>
          </w:tcPr>
          <w:p>
            <w:pPr>
              <w:spacing w:before="0" w:after="0" w:line="252" w:lineRule="auto"/>
            </w:pPr>
            <w:r>
              <w:rPr>
                <w:rFonts w:ascii="Calibri" w:hAnsi="Calibri"/>
                <w:sz w:val="19"/>
              </w:rPr>
              <w:t>Education and early childhood</w:t>
            </w:r>
          </w:p>
        </w:tc>
        <w:tc>
          <w:tcPr>
            <w:tcW w:type="dxa" w:w="6918"/>
            <w:tcMar>
              <w:top w:w="50" w:type="dxa"/>
              <w:left w:w="90" w:type="dxa"/>
              <w:bottom w:w="60" w:type="dxa"/>
              <w:right w:w="90" w:type="dxa"/>
            </w:tcMar>
          </w:tcPr>
          <w:p>
            <w:pPr>
              <w:spacing w:before="0" w:after="0" w:line="252" w:lineRule="auto"/>
            </w:pPr>
            <w:r>
              <w:rPr>
                <w:rFonts w:ascii="Calibri" w:hAnsi="Calibri"/>
                <w:sz w:val="19"/>
              </w:rPr>
              <w:t>Observation hours, a micro-teaching assignment, a reflection on classroom management</w:t>
            </w:r>
          </w:p>
        </w:tc>
      </w:tr>
      <w:tr>
        <w:trPr>
          <w:cantSplit/>
        </w:trPr>
        <w:tc>
          <w:tcPr>
            <w:tcW w:type="dxa" w:w="2874"/>
            <w:tcMar>
              <w:top w:w="50" w:type="dxa"/>
              <w:left w:w="0" w:type="dxa"/>
              <w:bottom w:w="60" w:type="dxa"/>
              <w:right w:w="90" w:type="dxa"/>
            </w:tcMar>
          </w:tcPr>
          <w:p>
            <w:pPr>
              <w:spacing w:before="0" w:after="0" w:line="252" w:lineRule="auto"/>
            </w:pPr>
            <w:r>
              <w:rPr>
                <w:rFonts w:ascii="Calibri" w:hAnsi="Calibri"/>
                <w:sz w:val="19"/>
              </w:rPr>
              <w:t>Cybersecurity and IT</w:t>
            </w:r>
          </w:p>
        </w:tc>
        <w:tc>
          <w:tcPr>
            <w:tcW w:type="dxa" w:w="6918"/>
            <w:tcMar>
              <w:top w:w="50" w:type="dxa"/>
              <w:left w:w="90" w:type="dxa"/>
              <w:bottom w:w="60" w:type="dxa"/>
              <w:right w:w="90" w:type="dxa"/>
            </w:tcMar>
          </w:tcPr>
          <w:p>
            <w:pPr>
              <w:spacing w:before="0" w:after="0" w:line="252" w:lineRule="auto"/>
            </w:pPr>
            <w:r>
              <w:rPr>
                <w:rFonts w:ascii="Calibri" w:hAnsi="Calibri"/>
                <w:sz w:val="19"/>
              </w:rPr>
              <w:t>A communication assignment: translate a security idea into a child-appropriate station</w:t>
            </w:r>
          </w:p>
        </w:tc>
      </w:tr>
      <w:tr>
        <w:trPr>
          <w:cantSplit/>
        </w:trPr>
        <w:tc>
          <w:tcPr>
            <w:tcW w:type="dxa" w:w="2874"/>
            <w:tcMar>
              <w:top w:w="50" w:type="dxa"/>
              <w:left w:w="0" w:type="dxa"/>
              <w:bottom w:w="60" w:type="dxa"/>
              <w:right w:w="90" w:type="dxa"/>
            </w:tcMar>
          </w:tcPr>
          <w:p>
            <w:pPr>
              <w:spacing w:before="0" w:after="0" w:line="252" w:lineRule="auto"/>
            </w:pPr>
            <w:r>
              <w:rPr>
                <w:rFonts w:ascii="Calibri" w:hAnsi="Calibri"/>
                <w:sz w:val="19"/>
              </w:rPr>
              <w:t>Psychology and human services</w:t>
            </w:r>
          </w:p>
        </w:tc>
        <w:tc>
          <w:tcPr>
            <w:tcW w:type="dxa" w:w="6918"/>
            <w:tcMar>
              <w:top w:w="50" w:type="dxa"/>
              <w:left w:w="90" w:type="dxa"/>
              <w:bottom w:w="60" w:type="dxa"/>
              <w:right w:w="90" w:type="dxa"/>
            </w:tcMar>
          </w:tcPr>
          <w:p>
            <w:pPr>
              <w:spacing w:before="0" w:after="0" w:line="252" w:lineRule="auto"/>
            </w:pPr>
            <w:r>
              <w:rPr>
                <w:rFonts w:ascii="Calibri" w:hAnsi="Calibri"/>
                <w:sz w:val="19"/>
              </w:rPr>
              <w:t>A reflection on trauma-informed responses, boundaries and referral</w:t>
            </w:r>
          </w:p>
        </w:tc>
      </w:tr>
      <w:tr>
        <w:trPr>
          <w:cantSplit/>
        </w:trPr>
        <w:tc>
          <w:tcPr>
            <w:tcW w:type="dxa" w:w="2874"/>
            <w:tcMar>
              <w:top w:w="50" w:type="dxa"/>
              <w:left w:w="0" w:type="dxa"/>
              <w:bottom w:w="60" w:type="dxa"/>
              <w:right w:w="90" w:type="dxa"/>
            </w:tcMar>
          </w:tcPr>
          <w:p>
            <w:pPr>
              <w:spacing w:before="0" w:after="0" w:line="252" w:lineRule="auto"/>
            </w:pPr>
            <w:r>
              <w:rPr>
                <w:rFonts w:ascii="Calibri" w:hAnsi="Calibri"/>
                <w:sz w:val="19"/>
              </w:rPr>
              <w:t>Criminal justice</w:t>
            </w:r>
          </w:p>
        </w:tc>
        <w:tc>
          <w:tcPr>
            <w:tcW w:type="dxa" w:w="6918"/>
            <w:tcMar>
              <w:top w:w="50" w:type="dxa"/>
              <w:left w:w="90" w:type="dxa"/>
              <w:bottom w:w="60" w:type="dxa"/>
              <w:right w:w="90" w:type="dxa"/>
            </w:tcMar>
          </w:tcPr>
          <w:p>
            <w:pPr>
              <w:spacing w:before="0" w:after="0" w:line="252" w:lineRule="auto"/>
            </w:pPr>
            <w:r>
              <w:rPr>
                <w:rFonts w:ascii="Calibri" w:hAnsi="Calibri"/>
                <w:sz w:val="19"/>
              </w:rPr>
              <w:t>A paper on mandated reporting and school safeguarding</w:t>
            </w:r>
          </w:p>
        </w:tc>
      </w:tr>
      <w:tr>
        <w:trPr>
          <w:cantSplit/>
        </w:trPr>
        <w:tc>
          <w:tcPr>
            <w:tcW w:type="dxa" w:w="2874"/>
            <w:tcMar>
              <w:top w:w="50" w:type="dxa"/>
              <w:left w:w="0" w:type="dxa"/>
              <w:bottom w:w="60" w:type="dxa"/>
              <w:right w:w="90" w:type="dxa"/>
            </w:tcMar>
          </w:tcPr>
          <w:p>
            <w:pPr>
              <w:spacing w:before="0" w:after="0" w:line="252" w:lineRule="auto"/>
            </w:pPr>
            <w:r>
              <w:rPr>
                <w:rFonts w:ascii="Calibri" w:hAnsi="Calibri"/>
                <w:sz w:val="19"/>
              </w:rPr>
              <w:t>Nursing and health</w:t>
            </w:r>
          </w:p>
        </w:tc>
        <w:tc>
          <w:tcPr>
            <w:tcW w:type="dxa" w:w="6918"/>
            <w:tcMar>
              <w:top w:w="50" w:type="dxa"/>
              <w:left w:w="90" w:type="dxa"/>
              <w:bottom w:w="60" w:type="dxa"/>
              <w:right w:w="90" w:type="dxa"/>
            </w:tcMar>
          </w:tcPr>
          <w:p>
            <w:pPr>
              <w:spacing w:before="0" w:after="0" w:line="252" w:lineRule="auto"/>
            </w:pPr>
            <w:r>
              <w:rPr>
                <w:rFonts w:ascii="Calibri" w:hAnsi="Calibri"/>
                <w:sz w:val="19"/>
              </w:rPr>
              <w:t>A reflection on child-centered communication</w:t>
            </w:r>
          </w:p>
        </w:tc>
      </w:tr>
      <w:tr>
        <w:trPr>
          <w:cantSplit/>
        </w:trPr>
        <w:tc>
          <w:tcPr>
            <w:tcW w:type="dxa" w:w="2874"/>
            <w:tcMar>
              <w:top w:w="50" w:type="dxa"/>
              <w:left w:w="0" w:type="dxa"/>
              <w:bottom w:w="60" w:type="dxa"/>
              <w:right w:w="90" w:type="dxa"/>
            </w:tcMar>
          </w:tcPr>
          <w:p>
            <w:pPr>
              <w:spacing w:before="0" w:after="0" w:line="252" w:lineRule="auto"/>
            </w:pPr>
            <w:r>
              <w:rPr>
                <w:rFonts w:ascii="Calibri" w:hAnsi="Calibri"/>
                <w:sz w:val="19"/>
              </w:rPr>
              <w:t>Capstone or portfolio</w:t>
            </w:r>
          </w:p>
        </w:tc>
        <w:tc>
          <w:tcPr>
            <w:tcW w:type="dxa" w:w="6918"/>
            <w:tcMar>
              <w:top w:w="50" w:type="dxa"/>
              <w:left w:w="90" w:type="dxa"/>
              <w:bottom w:w="60" w:type="dxa"/>
              <w:right w:w="90" w:type="dxa"/>
            </w:tcMar>
          </w:tcPr>
          <w:p>
            <w:pPr>
              <w:spacing w:before="0" w:after="0" w:line="252" w:lineRule="auto"/>
            </w:pPr>
            <w:r>
              <w:rPr>
                <w:rFonts w:ascii="Calibri" w:hAnsi="Calibri"/>
                <w:sz w:val="19"/>
              </w:rPr>
              <w:t>A short account of the mentor's service and learning</w:t>
            </w:r>
          </w:p>
        </w:tc>
      </w:tr>
    </w:tbl>
    <w:p>
      <w:pPr>
        <w:spacing w:before="0" w:after="0" w:line="160" w:lineRule="exact"/>
      </w:pPr>
      <w:r>
        <w:rPr>
          <w:sz w:val="2"/>
        </w:rPr>
      </w:r>
    </w:p>
    <w:p>
      <w:r>
        <w:rPr/>
        <w:t>Assignments never require a student to describe a child's disclosure. Reflections must not identify any child, class or school.</w:t>
      </w:r>
    </w:p>
    <w:p>
      <w:pPr>
        <w:pStyle w:val="Heading2"/>
        <w:pBdr>
          <w:top w:val="single" w:sz="18" w:space="6" w:color="FF8A3D"/>
        </w:pBdr>
        <w:spacing w:before="320"/>
      </w:pPr>
      <w:r>
        <w:rPr>
          <w:rFonts w:ascii="Courier New" w:hAnsi="Courier New"/>
          <w:b w:val="0"/>
          <w:color w:val="A8400A"/>
          <w:sz w:val="20"/>
        </w:rPr>
        <w:t xml:space="preserve">05  </w:t>
      </w:r>
      <w:r>
        <w:rPr/>
        <w:t>A semester at a glance</w:t>
      </w:r>
    </w:p>
    <w:p>
      <w:r>
        <w:rPr/>
        <w:t>See the semester calendar (document 10). In short: recruit in weeks 1 to 3, screen and train in weeks 3 to 7, hold events in weeks 8 to 13, reflect and recognize in weeks 14 to 16.</w:t>
      </w:r>
    </w:p>
    <w:p>
      <w:pPr>
        <w:pStyle w:val="Heading2"/>
        <w:pBdr>
          <w:top w:val="single" w:sz="18" w:space="6" w:color="FF8A3D"/>
        </w:pBdr>
        <w:spacing w:before="320"/>
      </w:pPr>
      <w:r>
        <w:rPr>
          <w:rFonts w:ascii="Courier New" w:hAnsi="Courier New"/>
          <w:b w:val="0"/>
          <w:color w:val="A8400A"/>
          <w:sz w:val="20"/>
        </w:rPr>
        <w:t xml:space="preserve">06  </w:t>
      </w:r>
      <w:r>
        <w:rPr/>
        <w:t>Event-day responsibilities</w:t>
      </w:r>
    </w:p>
    <w:p>
      <w:r>
        <w:rPr/>
        <w:t>You or another staff member on site:</w:t>
      </w:r>
    </w:p>
    <w:p>
      <w:pPr>
        <w:pStyle w:val="ListBullet"/>
      </w:pPr>
      <w:r>
        <w:rPr/>
        <w:t>confirm the school's contact, the roster and the room;</w:t>
      </w:r>
    </w:p>
    <w:p>
      <w:pPr>
        <w:pStyle w:val="ListBullet"/>
      </w:pPr>
      <w:r>
        <w:rPr/>
        <w:t>check that every mentor is on the cleared list, has a visitor badge if the school uses them and has signed the code;</w:t>
      </w:r>
    </w:p>
    <w:p>
      <w:pPr>
        <w:pStyle w:val="ListBullet"/>
      </w:pPr>
      <w:r>
        <w:rPr/>
        <w:t>brief mentors for five minutes: the three promises, never alone, no photos, no contact;</w:t>
      </w:r>
    </w:p>
    <w:p>
      <w:pPr>
        <w:pStyle w:val="ListBullet"/>
      </w:pPr>
      <w:r>
        <w:rPr/>
        <w:t>stay reachable by phone and, where possible, on site;</w:t>
      </w:r>
    </w:p>
    <w:p>
      <w:pPr>
        <w:pStyle w:val="ListBullet"/>
      </w:pPr>
      <w:r>
        <w:rPr/>
        <w:t>observe at least one session and write a note for the coordinator;</w:t>
      </w:r>
    </w:p>
    <w:p>
      <w:pPr>
        <w:pStyle w:val="ListBullet"/>
      </w:pPr>
      <w:r>
        <w:rPr/>
        <w:t>hold the debrief afterward.</w:t>
      </w:r>
    </w:p>
    <w:p>
      <w:pPr>
        <w:pStyle w:val="Heading2"/>
        <w:pBdr>
          <w:top w:val="single" w:sz="18" w:space="6" w:color="FF8A3D"/>
        </w:pBdr>
        <w:spacing w:before="320"/>
      </w:pPr>
      <w:r>
        <w:rPr>
          <w:rFonts w:ascii="Courier New" w:hAnsi="Courier New"/>
          <w:b w:val="0"/>
          <w:color w:val="A8400A"/>
          <w:sz w:val="20"/>
        </w:rPr>
        <w:t xml:space="preserve">07  </w:t>
      </w:r>
      <w:r>
        <w:rPr/>
        <w:t>Watch for these red flags</w:t>
      </w:r>
    </w:p>
    <w:p>
      <w:pPr>
        <w:pStyle w:val="ListBullet"/>
      </w:pPr>
      <w:r>
        <w:rPr/>
        <w:t>A mentor who wants private contact with children or a particular child.</w:t>
      </w:r>
    </w:p>
    <w:p>
      <w:pPr>
        <w:pStyle w:val="ListBullet"/>
      </w:pPr>
      <w:r>
        <w:rPr/>
        <w:t>A mentor who skips the rules because "it's fine".</w:t>
      </w:r>
    </w:p>
    <w:p>
      <w:pPr>
        <w:pStyle w:val="ListBullet"/>
      </w:pPr>
      <w:r>
        <w:rPr/>
        <w:t>Repeated lateness or absence that leaves a station short.</w:t>
      </w:r>
    </w:p>
    <w:p>
      <w:pPr>
        <w:pStyle w:val="ListBullet"/>
      </w:pPr>
      <w:r>
        <w:rPr/>
        <w:t>A mentor who seems distressed after an event.</w:t>
      </w:r>
    </w:p>
    <w:p>
      <w:pPr>
        <w:pStyle w:val="ListBullet"/>
      </w:pPr>
      <w:r>
        <w:rPr/>
        <w:t>A mentor who posts about the event.</w:t>
      </w:r>
    </w:p>
    <w:p>
      <w:pPr>
        <w:pStyle w:val="ListBullet"/>
      </w:pPr>
      <w:r>
        <w:rPr/>
        <w:t>Pressure from a school or a family to bend the rules.</w:t>
      </w:r>
    </w:p>
    <w:p>
      <w:pPr>
        <w:pStyle w:val="ListBullet"/>
      </w:pPr>
      <w:r>
        <w:rPr/>
        <w:t>A coordinator who does not follow the forms.</w:t>
      </w:r>
    </w:p>
    <w:p>
      <w:r>
        <w:rPr/>
        <w:t>Act at once. See the forms packet and the code of conduct. Ask a counselor to support any mentor who is distressed.</w:t>
      </w:r>
    </w:p>
    <w:p>
      <w:pPr>
        <w:pStyle w:val="Heading2"/>
        <w:pBdr>
          <w:top w:val="single" w:sz="18" w:space="6" w:color="FF8A3D"/>
        </w:pBdr>
        <w:spacing w:before="320"/>
      </w:pPr>
      <w:r>
        <w:rPr>
          <w:rFonts w:ascii="Courier New" w:hAnsi="Courier New"/>
          <w:b w:val="0"/>
          <w:color w:val="A8400A"/>
          <w:sz w:val="20"/>
        </w:rPr>
        <w:t xml:space="preserve">08  </w:t>
      </w:r>
      <w:r>
        <w:rPr/>
        <w:t>Supporting mentors</w:t>
      </w:r>
    </w:p>
    <w:p>
      <w:r>
        <w:rPr/>
        <w:t>Many mentors are first-generation, commuter, working or parenting students. Be flexible about schedules, make training available at different times, and recognize their contribution in letters and ceremonies. If a mentor tells you something personal, use the heads-up from the master protocol: say what you can and cannot keep private first [COUNSEL TO CONFIRM your status].</w:t>
      </w:r>
    </w:p>
    <w:p>
      <w:pPr>
        <w:pStyle w:val="Heading2"/>
        <w:pBdr>
          <w:top w:val="single" w:sz="18" w:space="6" w:color="FF8A3D"/>
        </w:pBdr>
        <w:spacing w:before="320"/>
      </w:pPr>
      <w:r>
        <w:rPr>
          <w:rFonts w:ascii="Courier New" w:hAnsi="Courier New"/>
          <w:b w:val="0"/>
          <w:color w:val="A8400A"/>
          <w:sz w:val="20"/>
        </w:rPr>
        <w:t xml:space="preserve">09  </w:t>
      </w:r>
      <w:r>
        <w:rPr/>
        <w:t>Annual review checklist</w:t>
      </w:r>
    </w:p>
    <w:p>
      <w:pPr>
        <w:spacing w:before="0" w:after="60"/>
        <w:ind w:left="504" w:hanging="360"/>
      </w:pPr>
      <w:r>
        <w:rPr>
          <w:rFonts w:ascii="Segoe UI Symbol" w:hAnsi="Segoe UI Symbol"/>
        </w:rPr>
        <w:t xml:space="preserve">☐ </w:t>
      </w:r>
      <w:r>
        <w:rPr/>
        <w:t>Documents reviewed by counsel and HR since last year</w:t>
      </w:r>
    </w:p>
    <w:p>
      <w:pPr>
        <w:spacing w:before="0" w:after="60"/>
        <w:ind w:left="504" w:hanging="360"/>
      </w:pPr>
      <w:r>
        <w:rPr>
          <w:rFonts w:ascii="Segoe UI Symbol" w:hAnsi="Segoe UI Symbol"/>
        </w:rPr>
        <w:t xml:space="preserve">☐ </w:t>
      </w:r>
      <w:r>
        <w:rPr/>
        <w:t>Insurance certificates current</w:t>
      </w:r>
    </w:p>
    <w:p>
      <w:pPr>
        <w:spacing w:before="0" w:after="60"/>
        <w:ind w:left="504" w:hanging="360"/>
      </w:pPr>
      <w:r>
        <w:rPr>
          <w:rFonts w:ascii="Segoe UI Symbol" w:hAnsi="Segoe UI Symbol"/>
        </w:rPr>
        <w:t xml:space="preserve">☐ </w:t>
      </w:r>
      <w:r>
        <w:rPr/>
        <w:t>School agreements current for each partner</w:t>
      </w:r>
    </w:p>
    <w:p>
      <w:pPr>
        <w:spacing w:before="0" w:after="60"/>
        <w:ind w:left="504" w:hanging="360"/>
      </w:pPr>
      <w:r>
        <w:rPr>
          <w:rFonts w:ascii="Segoe UI Symbol" w:hAnsi="Segoe UI Symbol"/>
        </w:rPr>
        <w:t xml:space="preserve">☐ </w:t>
      </w:r>
      <w:r>
        <w:rPr/>
        <w:t>All mentors screened, trained and renewed on schedule</w:t>
      </w:r>
    </w:p>
    <w:p>
      <w:pPr>
        <w:spacing w:before="0" w:after="60"/>
        <w:ind w:left="504" w:hanging="360"/>
      </w:pPr>
      <w:r>
        <w:rPr>
          <w:rFonts w:ascii="Segoe UI Symbol" w:hAnsi="Segoe UI Symbol"/>
        </w:rPr>
        <w:t xml:space="preserve">☐ </w:t>
      </w:r>
      <w:r>
        <w:rPr/>
        <w:t>Incident reports reviewed and closed</w:t>
      </w:r>
    </w:p>
    <w:p>
      <w:pPr>
        <w:spacing w:before="0" w:after="60"/>
        <w:ind w:left="504" w:hanging="360"/>
      </w:pPr>
      <w:r>
        <w:rPr>
          <w:rFonts w:ascii="Segoe UI Symbol" w:hAnsi="Segoe UI Symbol"/>
        </w:rPr>
        <w:t xml:space="preserve">☐ </w:t>
      </w:r>
      <w:r>
        <w:rPr/>
        <w:t>Impact tracker complete (aggregate counts only)</w:t>
      </w:r>
    </w:p>
    <w:p>
      <w:pPr>
        <w:spacing w:before="0" w:after="60"/>
        <w:ind w:left="504" w:hanging="360"/>
      </w:pPr>
      <w:r>
        <w:rPr>
          <w:rFonts w:ascii="Segoe UI Symbol" w:hAnsi="Segoe UI Symbol"/>
        </w:rPr>
        <w:t xml:space="preserve">☐ </w:t>
      </w:r>
      <w:r>
        <w:rPr/>
        <w:t>Feedback from teachers and mentors reviewed</w:t>
      </w:r>
    </w:p>
    <w:p>
      <w:pPr>
        <w:spacing w:before="0" w:after="60"/>
        <w:ind w:left="504" w:hanging="360"/>
      </w:pPr>
      <w:r>
        <w:rPr>
          <w:rFonts w:ascii="Segoe UI Symbol" w:hAnsi="Segoe UI Symbol"/>
        </w:rPr>
        <w:t xml:space="preserve">☐ </w:t>
      </w:r>
      <w:r>
        <w:rPr/>
        <w:t>Changes planned for next year</w:t>
      </w:r>
    </w:p>
    <w:p>
      <w:pPr>
        <w:spacing w:before="0" w:after="60"/>
        <w:ind w:left="504" w:hanging="360"/>
      </w:pPr>
      <w:r>
        <w:rPr>
          <w:rFonts w:ascii="Segoe UI Symbol" w:hAnsi="Segoe UI Symbol"/>
        </w:rPr>
        <w:t xml:space="preserve">☐ </w:t>
      </w:r>
      <w:r>
        <w:rPr/>
        <w:t>Recognition ceremony scheduled</w:t>
      </w:r>
    </w:p>
    <w:p>
      <w:pPr>
        <w:pStyle w:val="Heading2"/>
        <w:pBdr>
          <w:top w:val="single" w:sz="18" w:space="6" w:color="FF8A3D"/>
        </w:pBdr>
        <w:spacing w:before="320"/>
      </w:pPr>
      <w:r>
        <w:rPr>
          <w:rFonts w:ascii="Courier New" w:hAnsi="Courier New"/>
          <w:b w:val="0"/>
          <w:color w:val="A8400A"/>
          <w:sz w:val="20"/>
        </w:rPr>
        <w:t xml:space="preserve">10  </w:t>
      </w:r>
      <w:r>
        <w:rPr/>
        <w:t>Your own boundaries</w:t>
      </w:r>
    </w:p>
    <w:p>
      <w:r>
        <w:rPr/>
        <w:t>You are not a counselor or an investigator. If you are a responsible employee under Title IX or a mandated reporter, know your duties and tell mentors [COUNSEL TO CONFIRM]. Do not carry a concern alone: talk with HR, counsel or the dean as the policy says.</w:t>
      </w:r>
    </w:p>
    <w:p>
      <w:r>
        <w:rPr>
          <w:i/>
        </w:rPr>
        <w:t>Hackles has not been evaluated in a controlled study.</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MENTORS · FACULTY ADVISOR GUIDE</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Mentors · Faculty Advisor Guide</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