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Preregistration Template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i/>
        </w:rPr>
        <w:t>File this before you look at any outcome data, on a public or institutional registry (for example OSF Registries or AsPredicted [VERIFY that the registry you choose is available and accepts education studies]). The template follows common preregistration headings and the Hackles analysis plan. Text in brackets is for you. The example answers show the style for Design B (delayed-start comparison of class tallies); change them for your design. Hackles has not been evaluated in a controlled trial; say so in Section 1.</w:t>
      </w:r>
    </w:p>
    <w:p>
      <w:r>
        <w:rPr/>
        <w:t>No student accounts, no student data collected, ever.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Study information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19"/>
        <w:gridCol w:w="940"/>
        <w:gridCol w:w="6633"/>
      </w:tblGrid>
      <w:tr>
        <w:trPr>
          <w:tblHeader/>
          <w:cantSplit/>
        </w:trPr>
        <w:tc>
          <w:tcPr>
            <w:tcW w:type="dxa" w:w="221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FIELD</w:t>
            </w:r>
          </w:p>
        </w:tc>
        <w:tc>
          <w:tcPr>
            <w:tcW w:type="dxa" w:w="9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YOUR ENTRY</w:t>
            </w:r>
          </w:p>
        </w:tc>
        <w:tc>
          <w:tcPr>
            <w:tcW w:type="dxa" w:w="663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221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Title</w:t>
            </w:r>
          </w:p>
        </w:tc>
        <w:tc>
          <w:tcPr>
            <w:tcW w:type="dxa" w:w="9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66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Change in Tell-Readiness in grade 6-8 classes taught Hackles lessons first versus delayed</w:t>
            </w:r>
          </w:p>
        </w:tc>
      </w:tr>
      <w:tr>
        <w:trPr>
          <w:cantSplit/>
        </w:trPr>
        <w:tc>
          <w:tcPr>
            <w:tcW w:type="dxa" w:w="221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Authors and affiliations</w:t>
            </w:r>
          </w:p>
        </w:tc>
        <w:tc>
          <w:tcPr>
            <w:tcW w:type="dxa" w:w="9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66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[Names]. State any connection to Competence Collective</w:t>
            </w:r>
          </w:p>
        </w:tc>
      </w:tr>
      <w:tr>
        <w:trPr>
          <w:cantSplit/>
        </w:trPr>
        <w:tc>
          <w:tcPr>
            <w:tcW w:type="dxa" w:w="221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Date of registration and IRB protocol number</w:t>
            </w:r>
          </w:p>
        </w:tc>
        <w:tc>
          <w:tcPr>
            <w:tcW w:type="dxa" w:w="9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66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[Date], [IRB #]</w:t>
            </w:r>
          </w:p>
        </w:tc>
      </w:tr>
      <w:tr>
        <w:trPr>
          <w:cantSplit/>
        </w:trPr>
        <w:tc>
          <w:tcPr>
            <w:tcW w:type="dxa" w:w="221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Status of the kit</w:t>
            </w:r>
          </w:p>
        </w:tc>
        <w:tc>
          <w:tcPr>
            <w:tcW w:type="dxa" w:w="9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66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has not been evaluated in a controlled trial and has not been approved by any agency. This study cannot show that it prevents harm</w:t>
            </w:r>
          </w:p>
        </w:tc>
      </w:tr>
      <w:tr>
        <w:trPr>
          <w:cantSplit/>
        </w:trPr>
        <w:tc>
          <w:tcPr>
            <w:tcW w:type="dxa" w:w="221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Description</w:t>
            </w:r>
          </w:p>
        </w:tc>
        <w:tc>
          <w:tcPr>
            <w:tcW w:type="dxa" w:w="9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66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 compare class-level change in the share of students giving the best answer on the core items of the grades 6-8 survey between classes that receive ten Hackles lessons first and classes that receive them after the post survey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Hypotheses</w:t>
      </w:r>
    </w:p>
    <w:p>
      <w:r>
        <w:rPr/>
        <w:t>State hypotheses so that a result could disagree with them.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384"/>
        <w:gridCol w:w="5083"/>
        <w:gridCol w:w="3325"/>
      </w:tblGrid>
      <w:tr>
        <w:trPr>
          <w:tblHeader/>
          <w:cantSplit/>
        </w:trPr>
        <w:tc>
          <w:tcPr>
            <w:tcW w:type="dxa" w:w="138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508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HYPOTHESIS</w:t>
            </w:r>
          </w:p>
        </w:tc>
        <w:tc>
          <w:tcPr>
            <w:tcW w:type="dxa" w:w="332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DIRECTION</w:t>
            </w:r>
          </w:p>
        </w:tc>
      </w:tr>
      <w:tr>
        <w:trPr>
          <w:cantSplit/>
        </w:trPr>
        <w:tc>
          <w:tcPr>
            <w:tcW w:type="dxa" w:w="13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H1 (primary)</w:t>
            </w:r>
          </w:p>
        </w:tc>
        <w:tc>
          <w:tcPr>
            <w:tcW w:type="dxa" w:w="5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Class-level change in Tell-Readiness (percentage points, post minus pre) is larger in taught-first classes than in delayed classes</w:t>
            </w:r>
          </w:p>
        </w:tc>
        <w:tc>
          <w:tcPr>
            <w:tcW w:type="dxa" w:w="33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Two-sided test; we expect taught-first to be larger</w:t>
            </w:r>
          </w:p>
        </w:tc>
      </w:tr>
      <w:tr>
        <w:trPr>
          <w:cantSplit/>
        </w:trPr>
        <w:tc>
          <w:tcPr>
            <w:tcW w:type="dxa" w:w="13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H2 (secondary)</w:t>
            </w:r>
          </w:p>
        </w:tc>
        <w:tc>
          <w:tcPr>
            <w:tcW w:type="dxa" w:w="5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Item-level percent with the best answer rises more in taught-first classes on the three core items</w:t>
            </w:r>
          </w:p>
        </w:tc>
        <w:tc>
          <w:tcPr>
            <w:tcW w:type="dxa" w:w="33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Two-sided</w:t>
            </w:r>
          </w:p>
        </w:tc>
      </w:tr>
      <w:tr>
        <w:trPr>
          <w:cantSplit/>
        </w:trPr>
        <w:tc>
          <w:tcPr>
            <w:tcW w:type="dxa" w:w="13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H3 (secondary)</w:t>
            </w:r>
          </w:p>
        </w:tc>
        <w:tc>
          <w:tcPr>
            <w:tcW w:type="dxa" w:w="5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 taught-first classes, more matched students go up than down on the core score</w:t>
            </w:r>
          </w:p>
        </w:tc>
        <w:tc>
          <w:tcPr>
            <w:tcW w:type="dxa" w:w="33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Two-sided sign test, descriptive because classes cluster</w:t>
            </w:r>
          </w:p>
        </w:tc>
      </w:tr>
      <w:tr>
        <w:trPr>
          <w:cantSplit/>
        </w:trPr>
        <w:tc>
          <w:tcPr>
            <w:tcW w:type="dxa" w:w="13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Exploratory</w:t>
            </w:r>
          </w:p>
        </w:tc>
        <w:tc>
          <w:tcPr>
            <w:tcW w:type="dxa" w:w="5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Whether change differs by class size; whether the post survey is higher in classes taught by teachers with higher fidelity scores</w:t>
            </w:r>
          </w:p>
        </w:tc>
        <w:tc>
          <w:tcPr>
            <w:tcW w:type="dxa" w:w="33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 tested for significance; hypothesis-generating only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Design plan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444"/>
        <w:gridCol w:w="712"/>
        <w:gridCol w:w="7636"/>
      </w:tblGrid>
      <w:tr>
        <w:trPr>
          <w:tblHeader/>
          <w:cantSplit/>
        </w:trPr>
        <w:tc>
          <w:tcPr>
            <w:tcW w:type="dxa" w:w="144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FIELD</w:t>
            </w:r>
          </w:p>
        </w:tc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  <w:tc>
          <w:tcPr>
            <w:tcW w:type="dxa" w:w="763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4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Study type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6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Quasi-experimental pre/post with a delayed-start comparison; classes assigned by [coin flip / schedule]</w:t>
            </w:r>
          </w:p>
        </w:tc>
      </w:tr>
      <w:tr>
        <w:trPr>
          <w:cantSplit/>
        </w:trPr>
        <w:tc>
          <w:tcPr>
            <w:tcW w:type="dxa" w:w="14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Blinding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6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Analyst blind to class condition until the primary analysis is run; teachers cannot be blinded</w:t>
            </w:r>
          </w:p>
        </w:tc>
      </w:tr>
      <w:tr>
        <w:trPr>
          <w:cantSplit/>
        </w:trPr>
        <w:tc>
          <w:tcPr>
            <w:tcW w:type="dxa" w:w="14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Study design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6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Two arms of [4] classes; pre in Week 0; post in Week 11; delayed classes receive lessons after the post survey</w:t>
            </w:r>
          </w:p>
        </w:tc>
      </w:tr>
      <w:tr>
        <w:trPr>
          <w:cantSplit/>
        </w:trPr>
        <w:tc>
          <w:tcPr>
            <w:tcW w:type="dxa" w:w="14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Randomization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6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[Describe, or say it was not randomized and why]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Sampling plan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5"/>
        <w:gridCol w:w="712"/>
        <w:gridCol w:w="7155"/>
      </w:tblGrid>
      <w:tr>
        <w:trPr>
          <w:tblHeader/>
          <w:cantSplit/>
        </w:trPr>
        <w:tc>
          <w:tcPr>
            <w:tcW w:type="dxa" w:w="192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FIELD</w:t>
            </w:r>
          </w:p>
        </w:tc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  <w:tc>
          <w:tcPr>
            <w:tcW w:type="dxa" w:w="715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Existing data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Registration is prior to any data collection</w:t>
            </w:r>
          </w:p>
        </w:tc>
      </w:tr>
      <w:tr>
        <w:trPr>
          <w:cantSplit/>
        </w:trPr>
        <w:tc>
          <w:tcPr>
            <w:tcW w:type="dxa" w:w="1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Explanation of existing data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 data exist yet</w:t>
            </w:r>
          </w:p>
        </w:tc>
      </w:tr>
      <w:tr>
        <w:trPr>
          <w:cantSplit/>
        </w:trPr>
        <w:tc>
          <w:tcPr>
            <w:tcW w:type="dxa" w:w="1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Data collection procedures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Teachers give the Assessment Pack grades 6-8 survey on paper as ordinary classroom practice, with teacher-held codes, and send class tally sheets (counts only) to the independent custodian</w:t>
            </w:r>
          </w:p>
        </w:tc>
      </w:tr>
      <w:tr>
        <w:trPr>
          <w:cantSplit/>
        </w:trPr>
        <w:tc>
          <w:tcPr>
            <w:tcW w:type="dxa" w:w="1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Sample size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 classes (4 per arm), about 20 matched students each</w:t>
            </w:r>
          </w:p>
        </w:tc>
      </w:tr>
      <w:tr>
        <w:trPr>
          <w:cantSplit/>
        </w:trPr>
        <w:tc>
          <w:tcPr>
            <w:tcW w:type="dxa" w:w="1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Sample size rationale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Assumptions: ICC 0.05; class size 20; d = 0.8. With 4 classes per arm, simulated power was about 0.73 for d = 0.8 and 0.35 for d = 0.5. We accept that the study can detect only large effects</w:t>
            </w:r>
          </w:p>
        </w:tc>
      </w:tr>
      <w:tr>
        <w:trPr>
          <w:cantSplit/>
        </w:trPr>
        <w:tc>
          <w:tcPr>
            <w:tcW w:type="dxa" w:w="19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Stopping rule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 stop data collection after the Week 11 post survey. We do not add classes after seeing results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Variables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582"/>
        <w:gridCol w:w="3872"/>
        <w:gridCol w:w="4337"/>
      </w:tblGrid>
      <w:tr>
        <w:trPr>
          <w:tblHeader/>
          <w:cantSplit/>
        </w:trPr>
        <w:tc>
          <w:tcPr>
            <w:tcW w:type="dxa" w:w="158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TYPE</w:t>
            </w:r>
          </w:p>
        </w:tc>
        <w:tc>
          <w:tcPr>
            <w:tcW w:type="dxa" w:w="387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VARIABLE</w:t>
            </w:r>
          </w:p>
        </w:tc>
        <w:tc>
          <w:tcPr>
            <w:tcW w:type="dxa" w:w="433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158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Manipulated</w:t>
            </w:r>
          </w:p>
        </w:tc>
        <w:tc>
          <w:tcPr>
            <w:tcW w:type="dxa" w:w="3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Condition</w:t>
            </w:r>
          </w:p>
        </w:tc>
        <w:tc>
          <w:tcPr>
            <w:tcW w:type="dxa" w:w="43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taught_first or delayed</w:t>
            </w:r>
          </w:p>
        </w:tc>
      </w:tr>
      <w:tr>
        <w:trPr>
          <w:cantSplit/>
        </w:trPr>
        <w:tc>
          <w:tcPr>
            <w:tcW w:type="dxa" w:w="158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Primary outcome</w:t>
            </w:r>
          </w:p>
        </w:tc>
        <w:tc>
          <w:tcPr>
            <w:tcW w:type="dxa" w:w="3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Tell-Readiness</w:t>
            </w:r>
          </w:p>
        </w:tc>
        <w:tc>
          <w:tcPr>
            <w:tcW w:type="dxa" w:w="43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Percent of core item responses (grades 6-8 items 2, 5, 7) with the best answer: item 2 per the Assessment Pack key; item 5 rated 3 or 4; item 7 scored 2</w:t>
            </w:r>
          </w:p>
        </w:tc>
      </w:tr>
      <w:tr>
        <w:trPr>
          <w:cantSplit/>
        </w:trPr>
        <w:tc>
          <w:tcPr>
            <w:tcW w:type="dxa" w:w="158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Secondary outcomes</w:t>
            </w:r>
          </w:p>
        </w:tc>
        <w:tc>
          <w:tcPr>
            <w:tcW w:type="dxa" w:w="3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Item-level best-answer percentages for items 1, 2, 3, 5, 6, 7, 8, 9; matched-pair counts up/same/down on the core score</w:t>
            </w:r>
          </w:p>
        </w:tc>
        <w:tc>
          <w:tcPr>
            <w:tcW w:type="dxa" w:w="43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 the codebook</w:t>
            </w:r>
          </w:p>
        </w:tc>
      </w:tr>
      <w:tr>
        <w:trPr>
          <w:cantSplit/>
        </w:trPr>
        <w:tc>
          <w:tcPr>
            <w:tcW w:type="dxa" w:w="158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Covariates (class level)</w:t>
            </w:r>
          </w:p>
        </w:tc>
        <w:tc>
          <w:tcPr>
            <w:tcW w:type="dxa" w:w="3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 size; pre-survey Tell-Readiness</w:t>
            </w:r>
          </w:p>
        </w:tc>
        <w:tc>
          <w:tcPr>
            <w:tcW w:type="dxa" w:w="43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Used in sensitivity analyses only</w:t>
            </w:r>
          </w:p>
        </w:tc>
      </w:tr>
      <w:tr>
        <w:trPr>
          <w:cantSplit/>
        </w:trPr>
        <w:tc>
          <w:tcPr>
            <w:tcW w:type="dxa" w:w="158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 collected</w:t>
            </w:r>
          </w:p>
        </w:tc>
        <w:tc>
          <w:tcPr>
            <w:tcW w:type="dxa" w:w="3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 names, codes, demographics, free text</w:t>
            </w:r>
          </w:p>
        </w:tc>
        <w:tc>
          <w:tcPr>
            <w:tcW w:type="dxa" w:w="43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Privacy by design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Analysis plan</w:t>
      </w:r>
    </w:p>
    <w:p>
      <w:r>
        <w:rPr/>
        <w:t>State the exact tests before you see the data.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610"/>
        <w:gridCol w:w="712"/>
        <w:gridCol w:w="7470"/>
      </w:tblGrid>
      <w:tr>
        <w:trPr>
          <w:tblHeader/>
          <w:cantSplit/>
        </w:trPr>
        <w:tc>
          <w:tcPr>
            <w:tcW w:type="dxa" w:w="161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  <w:tc>
          <w:tcPr>
            <w:tcW w:type="dxa" w:w="747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Primary analysis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For each class, compute Tell-Readiness pre and post and the change. Compare the mean change in taught-first versus delayed classes. Inference by exact randomization over all relabelings of classes (70 for 4 versus 4), with a Welch t-test and a class-resampling bootstrap interval reported as supporting results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Significance criterion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Alpha = .05, two-sided, for H1 only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Secondary analyses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Same procedure for each core item; report effect and interval, no adjustment, flagged as secondary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Multiple comparisons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H1 is primary. Item-level results are secondary and exploratory; we will not describe any as confirmed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Missing data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Items skipped are left out of that item's denominator (Assessment Pack rule). Students lost at post are in the pre tally only; we report n pre and n post for every class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Matching failures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Students whose codes fail to match are counted in class tallies but not in matched pairs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Outliers and exclusions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 exclusions of classes. A class with fewer than 10 matched students is reported but flagged as unstable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Suppression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 subgroup with fewer than 10 students is reported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Sensitivity analyses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Weight classes by size; drop one class at a time; analyze percent best-answer change on each core item</w:t>
            </w:r>
          </w:p>
        </w:tc>
      </w:tr>
      <w:tr>
        <w:trPr>
          <w:cantSplit/>
        </w:trPr>
        <w:tc>
          <w:tcPr>
            <w:tcW w:type="dxa" w:w="1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Deviations</w:t>
            </w:r>
          </w:p>
        </w:tc>
        <w:tc>
          <w:tcPr>
            <w:tcW w:type="dxa" w:w="7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  <w:tc>
          <w:tcPr>
            <w:tcW w:type="dxa" w:w="74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deviation will be listed with its reason in the final report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Outcomes we will not claim</w:t>
      </w:r>
    </w:p>
    <w:p>
      <w:pPr>
        <w:pStyle w:val="ListBullet"/>
      </w:pPr>
      <w:r>
        <w:rPr/>
        <w:t>We will not claim that Hackles prevents harm, changes real-world behavior, or is effective or approved.</w:t>
      </w:r>
    </w:p>
    <w:p>
      <w:pPr>
        <w:pStyle w:val="ListBullet"/>
      </w:pPr>
      <w:r>
        <w:rPr/>
        <w:t>We will not describe a significant result as proof, and will describe a non-significant result as inconclusive, not as evidence of no effect.</w:t>
      </w:r>
    </w:p>
    <w:p>
      <w:pPr>
        <w:pStyle w:val="ListBullet"/>
      </w:pPr>
      <w:r>
        <w:rPr/>
        <w:t>We will not report effects for subgroups under 10 students.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Other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30"/>
        <w:gridCol w:w="7862"/>
      </w:tblGrid>
      <w:tr>
        <w:trPr>
          <w:tblHeader/>
          <w:cantSplit/>
        </w:trPr>
        <w:tc>
          <w:tcPr>
            <w:tcW w:type="dxa" w:w="193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FIELD</w:t>
            </w:r>
          </w:p>
        </w:tc>
        <w:tc>
          <w:tcPr>
            <w:tcW w:type="dxa" w:w="786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19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Data availability</w:t>
            </w:r>
          </w:p>
        </w:tc>
        <w:tc>
          <w:tcPr>
            <w:tcW w:type="dxa" w:w="78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[Aggregate, suppressed class-level file and analysis code, under the terms in the Publication, Authorship and Data Licence Policy]</w:t>
            </w:r>
          </w:p>
        </w:tc>
      </w:tr>
      <w:tr>
        <w:trPr>
          <w:cantSplit/>
        </w:trPr>
        <w:tc>
          <w:tcPr>
            <w:tcW w:type="dxa" w:w="19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Conflicts of interest</w:t>
            </w:r>
          </w:p>
        </w:tc>
        <w:tc>
          <w:tcPr>
            <w:tcW w:type="dxa" w:w="78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9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Funding</w:t>
            </w:r>
          </w:p>
        </w:tc>
        <w:tc>
          <w:tcPr>
            <w:tcW w:type="dxa" w:w="78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9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Additional comments</w:t>
            </w:r>
          </w:p>
        </w:tc>
        <w:tc>
          <w:tcPr>
            <w:tcW w:type="dxa" w:w="78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09  </w:t>
      </w:r>
      <w:r>
        <w:rPr/>
        <w:t>After registration</w:t>
      </w:r>
    </w:p>
    <w:p>
      <w:r>
        <w:rPr/>
        <w:t>Do not change this document. If you must change the plan, file a dated amendment that explains why, before looking at outcome data where possible. Keep the registration number on the final report.</w:t>
      </w:r>
    </w:p>
    <w:p>
      <w:r>
        <w:rPr>
          <w:i/>
        </w:rPr>
        <w:t>This template is educational guidance, not legal advice.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PREREGISTRATION TEMPLATE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Preregistration Template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