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College Edition: Non-Credit Professional Development Version (6 Hours)</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A one-day or two-half-day professional development program for in-service teachers, counselors and administrators, built from the same kit. It gives participants a certificate of participation with clock hours. It makes no claim that any state agency, accrediting body or licensing board has approved it, and it does not promise PD credit, CEUs or recertification points. Hackles has not been evaluated in a controlled trial.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13"/>
        <w:gridCol w:w="8679"/>
      </w:tblGrid>
      <w:tr>
        <w:trPr>
          <w:tblHeader/>
          <w:cantSplit/>
        </w:trPr>
        <w:tc>
          <w:tcPr>
            <w:tcW w:type="dxa" w:w="111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86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113"/>
            <w:tcMar>
              <w:top w:w="50" w:type="dxa"/>
              <w:left w:w="0" w:type="dxa"/>
              <w:bottom w:w="60" w:type="dxa"/>
              <w:right w:w="90" w:type="dxa"/>
            </w:tcMar>
          </w:tcPr>
          <w:p>
            <w:pPr>
              <w:spacing w:before="0" w:after="0" w:line="252" w:lineRule="auto"/>
            </w:pPr>
            <w:r>
              <w:rPr>
                <w:rFonts w:ascii="Calibri" w:hAnsi="Calibri"/>
                <w:sz w:val="19"/>
              </w:rPr>
              <w:t>Title</w:t>
            </w:r>
          </w:p>
        </w:tc>
        <w:tc>
          <w:tcPr>
            <w:tcW w:type="dxa" w:w="8679"/>
            <w:tcMar>
              <w:top w:w="50" w:type="dxa"/>
              <w:left w:w="90" w:type="dxa"/>
              <w:bottom w:w="60" w:type="dxa"/>
              <w:right w:w="90" w:type="dxa"/>
            </w:tcMar>
          </w:tcPr>
          <w:p>
            <w:pPr>
              <w:spacing w:before="0" w:after="0" w:line="252" w:lineRule="auto"/>
            </w:pPr>
            <w:r>
              <w:rPr>
                <w:rFonts w:ascii="Calibri" w:hAnsi="Calibri"/>
                <w:sz w:val="19"/>
              </w:rPr>
              <w:t>Teaching Digital Safety and Cybersecurity: A 6-Hour Hackles Workshop</w:t>
            </w:r>
          </w:p>
        </w:tc>
      </w:tr>
      <w:tr>
        <w:trPr>
          <w:cantSplit/>
        </w:trPr>
        <w:tc>
          <w:tcPr>
            <w:tcW w:type="dxa" w:w="1113"/>
            <w:tcMar>
              <w:top w:w="50" w:type="dxa"/>
              <w:left w:w="0" w:type="dxa"/>
              <w:bottom w:w="60" w:type="dxa"/>
              <w:right w:w="90" w:type="dxa"/>
            </w:tcMar>
          </w:tcPr>
          <w:p>
            <w:pPr>
              <w:spacing w:before="0" w:after="0" w:line="252" w:lineRule="auto"/>
            </w:pPr>
            <w:r>
              <w:rPr>
                <w:rFonts w:ascii="Calibri" w:hAnsi="Calibri"/>
                <w:sz w:val="19"/>
              </w:rPr>
              <w:t>Hours</w:t>
            </w:r>
          </w:p>
        </w:tc>
        <w:tc>
          <w:tcPr>
            <w:tcW w:type="dxa" w:w="8679"/>
            <w:tcMar>
              <w:top w:w="50" w:type="dxa"/>
              <w:left w:w="90" w:type="dxa"/>
              <w:bottom w:w="60" w:type="dxa"/>
              <w:right w:w="90" w:type="dxa"/>
            </w:tcMar>
          </w:tcPr>
          <w:p>
            <w:pPr>
              <w:spacing w:before="0" w:after="0" w:line="252" w:lineRule="auto"/>
            </w:pPr>
            <w:r>
              <w:rPr>
                <w:rFonts w:ascii="Calibri" w:hAnsi="Calibri"/>
                <w:sz w:val="19"/>
              </w:rPr>
              <w:t>6 clock hours of instruction (360 minutes), not counting lunch and long breaks</w:t>
            </w:r>
          </w:p>
        </w:tc>
      </w:tr>
      <w:tr>
        <w:trPr>
          <w:cantSplit/>
        </w:trPr>
        <w:tc>
          <w:tcPr>
            <w:tcW w:type="dxa" w:w="1113"/>
            <w:tcMar>
              <w:top w:w="50" w:type="dxa"/>
              <w:left w:w="0" w:type="dxa"/>
              <w:bottom w:w="60" w:type="dxa"/>
              <w:right w:w="90" w:type="dxa"/>
            </w:tcMar>
          </w:tcPr>
          <w:p>
            <w:pPr>
              <w:spacing w:before="0" w:after="0" w:line="252" w:lineRule="auto"/>
            </w:pPr>
            <w:r>
              <w:rPr>
                <w:rFonts w:ascii="Calibri" w:hAnsi="Calibri"/>
                <w:sz w:val="19"/>
              </w:rPr>
              <w:t>Format</w:t>
            </w:r>
          </w:p>
        </w:tc>
        <w:tc>
          <w:tcPr>
            <w:tcW w:type="dxa" w:w="8679"/>
            <w:tcMar>
              <w:top w:w="50" w:type="dxa"/>
              <w:left w:w="90" w:type="dxa"/>
              <w:bottom w:w="60" w:type="dxa"/>
              <w:right w:w="90" w:type="dxa"/>
            </w:tcMar>
          </w:tcPr>
          <w:p>
            <w:pPr>
              <w:spacing w:before="0" w:after="0" w:line="252" w:lineRule="auto"/>
            </w:pPr>
            <w:r>
              <w:rPr>
                <w:rFonts w:ascii="Calibri" w:hAnsi="Calibri"/>
                <w:sz w:val="19"/>
              </w:rPr>
              <w:t>One day (about 8:30 to 4:15 with a 45-minute lunch), or two half-days, or four 90-minute sessions plus two hours of self-study</w:t>
            </w:r>
          </w:p>
        </w:tc>
      </w:tr>
      <w:tr>
        <w:trPr>
          <w:cantSplit/>
        </w:trPr>
        <w:tc>
          <w:tcPr>
            <w:tcW w:type="dxa" w:w="1113"/>
            <w:tcMar>
              <w:top w:w="50" w:type="dxa"/>
              <w:left w:w="0" w:type="dxa"/>
              <w:bottom w:w="60" w:type="dxa"/>
              <w:right w:w="90" w:type="dxa"/>
            </w:tcMar>
          </w:tcPr>
          <w:p>
            <w:pPr>
              <w:spacing w:before="0" w:after="0" w:line="252" w:lineRule="auto"/>
            </w:pPr>
            <w:r>
              <w:rPr>
                <w:rFonts w:ascii="Calibri" w:hAnsi="Calibri"/>
                <w:sz w:val="19"/>
              </w:rPr>
              <w:t>Audience</w:t>
            </w:r>
          </w:p>
        </w:tc>
        <w:tc>
          <w:tcPr>
            <w:tcW w:type="dxa" w:w="8679"/>
            <w:tcMar>
              <w:top w:w="50" w:type="dxa"/>
              <w:left w:w="90" w:type="dxa"/>
              <w:bottom w:w="60" w:type="dxa"/>
              <w:right w:w="90" w:type="dxa"/>
            </w:tcMar>
          </w:tcPr>
          <w:p>
            <w:pPr>
              <w:spacing w:before="0" w:after="0" w:line="252" w:lineRule="auto"/>
            </w:pPr>
            <w:r>
              <w:rPr>
                <w:rFonts w:ascii="Calibri" w:hAnsi="Calibri"/>
                <w:sz w:val="19"/>
              </w:rPr>
              <w:t>Teachers K-12, specialists, librarians, counselors, administrators, coaches</w:t>
            </w:r>
          </w:p>
        </w:tc>
      </w:tr>
      <w:tr>
        <w:trPr>
          <w:cantSplit/>
        </w:trPr>
        <w:tc>
          <w:tcPr>
            <w:tcW w:type="dxa" w:w="1113"/>
            <w:tcMar>
              <w:top w:w="50" w:type="dxa"/>
              <w:left w:w="0" w:type="dxa"/>
              <w:bottom w:w="60" w:type="dxa"/>
              <w:right w:w="90" w:type="dxa"/>
            </w:tcMar>
          </w:tcPr>
          <w:p>
            <w:pPr>
              <w:spacing w:before="0" w:after="0" w:line="252" w:lineRule="auto"/>
            </w:pPr>
            <w:r>
              <w:rPr>
                <w:rFonts w:ascii="Calibri" w:hAnsi="Calibri"/>
                <w:sz w:val="19"/>
              </w:rPr>
              <w:t>Facilitators</w:t>
            </w:r>
          </w:p>
        </w:tc>
        <w:tc>
          <w:tcPr>
            <w:tcW w:type="dxa" w:w="8679"/>
            <w:tcMar>
              <w:top w:w="50" w:type="dxa"/>
              <w:left w:w="90" w:type="dxa"/>
              <w:bottom w:w="60" w:type="dxa"/>
              <w:right w:w="90" w:type="dxa"/>
            </w:tcMar>
          </w:tcPr>
          <w:p>
            <w:pPr>
              <w:spacing w:before="0" w:after="0" w:line="252" w:lineRule="auto"/>
            </w:pPr>
            <w:r>
              <w:rPr>
                <w:rFonts w:ascii="Calibri" w:hAnsi="Calibri"/>
                <w:sz w:val="19"/>
              </w:rPr>
              <w:t>A lead facilitator and a counselor or safety partner (required for the disclosure role-play)</w:t>
            </w:r>
          </w:p>
        </w:tc>
      </w:tr>
      <w:tr>
        <w:trPr>
          <w:cantSplit/>
        </w:trPr>
        <w:tc>
          <w:tcPr>
            <w:tcW w:type="dxa" w:w="1113"/>
            <w:tcMar>
              <w:top w:w="50" w:type="dxa"/>
              <w:left w:w="0" w:type="dxa"/>
              <w:bottom w:w="60" w:type="dxa"/>
              <w:right w:w="90" w:type="dxa"/>
            </w:tcMar>
          </w:tcPr>
          <w:p>
            <w:pPr>
              <w:spacing w:before="0" w:after="0" w:line="252" w:lineRule="auto"/>
            </w:pPr>
            <w:r>
              <w:rPr>
                <w:rFonts w:ascii="Calibri" w:hAnsi="Calibri"/>
                <w:sz w:val="19"/>
              </w:rPr>
              <w:t>Group size</w:t>
            </w:r>
          </w:p>
        </w:tc>
        <w:tc>
          <w:tcPr>
            <w:tcW w:type="dxa" w:w="8679"/>
            <w:tcMar>
              <w:top w:w="50" w:type="dxa"/>
              <w:left w:w="90" w:type="dxa"/>
              <w:bottom w:w="60" w:type="dxa"/>
              <w:right w:w="90" w:type="dxa"/>
            </w:tcMar>
          </w:tcPr>
          <w:p>
            <w:pPr>
              <w:spacing w:before="0" w:after="0" w:line="252" w:lineRule="auto"/>
            </w:pPr>
            <w:r>
              <w:rPr>
                <w:rFonts w:ascii="Calibri" w:hAnsi="Calibri"/>
                <w:sz w:val="19"/>
              </w:rPr>
              <w:t>Up to 30 with one facilitator; use trios for practice</w:t>
            </w:r>
          </w:p>
        </w:tc>
      </w:tr>
      <w:tr>
        <w:trPr>
          <w:cantSplit/>
        </w:trPr>
        <w:tc>
          <w:tcPr>
            <w:tcW w:type="dxa" w:w="1113"/>
            <w:tcMar>
              <w:top w:w="50" w:type="dxa"/>
              <w:left w:w="0" w:type="dxa"/>
              <w:bottom w:w="60" w:type="dxa"/>
              <w:right w:w="90" w:type="dxa"/>
            </w:tcMar>
          </w:tcPr>
          <w:p>
            <w:pPr>
              <w:spacing w:before="0" w:after="0" w:line="252" w:lineRule="auto"/>
            </w:pPr>
            <w:r>
              <w:rPr>
                <w:rFonts w:ascii="Calibri" w:hAnsi="Calibri"/>
                <w:sz w:val="19"/>
              </w:rPr>
              <w:t>Cost</w:t>
            </w:r>
          </w:p>
        </w:tc>
        <w:tc>
          <w:tcPr>
            <w:tcW w:type="dxa" w:w="8679"/>
            <w:tcMar>
              <w:top w:w="50" w:type="dxa"/>
              <w:left w:w="90" w:type="dxa"/>
              <w:bottom w:w="60" w:type="dxa"/>
              <w:right w:w="90" w:type="dxa"/>
            </w:tcMar>
          </w:tcPr>
          <w:p>
            <w:pPr>
              <w:spacing w:before="0" w:after="0" w:line="252" w:lineRule="auto"/>
            </w:pPr>
            <w:r>
              <w:rPr>
                <w:rFonts w:ascii="Calibri" w:hAnsi="Calibri"/>
                <w:sz w:val="19"/>
              </w:rPr>
              <w:t>Free kit. If your institution charges a fee, keep it to cost recovery and confirm with counsel and Competence Collective whether the fee is consistent with the CC BY-NC license [COUNSEL TO CONFIRM]</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Outcomes</w:t>
      </w:r>
    </w:p>
    <w:p>
      <w:r>
        <w:rPr/>
        <w:t>By the end of the day participants can:</w:t>
      </w:r>
    </w:p>
    <w:p>
      <w:pPr>
        <w:spacing w:before="0" w:after="60"/>
        <w:ind w:left="504" w:hanging="360"/>
      </w:pPr>
      <w:r>
        <w:rPr>
          <w:b/>
          <w:color w:val="2F6F73"/>
        </w:rPr>
        <w:t xml:space="preserve">1. </w:t>
      </w:r>
      <w:r>
        <w:rPr/>
        <w:t>Say the Hackles routine (Hackles up? Pause. Check. Tell.) and the three promises, and explain why skills beat scares.</w:t>
      </w:r>
    </w:p>
    <w:p>
      <w:pPr>
        <w:spacing w:before="0" w:after="60"/>
        <w:ind w:left="504" w:hanging="360"/>
      </w:pPr>
      <w:r>
        <w:rPr>
          <w:b/>
          <w:color w:val="2F6F73"/>
        </w:rPr>
        <w:t xml:space="preserve">2. </w:t>
      </w:r>
      <w:r>
        <w:rPr/>
        <w:t>Run or describe a quick demonstration of a security habit (passphrases, a second lock, spotting phish) with fake data.</w:t>
      </w:r>
    </w:p>
    <w:p>
      <w:pPr>
        <w:spacing w:before="0" w:after="60"/>
        <w:ind w:left="504" w:hanging="360"/>
      </w:pPr>
      <w:r>
        <w:rPr>
          <w:b/>
          <w:color w:val="2F6F73"/>
        </w:rPr>
        <w:t xml:space="preserve">3. </w:t>
      </w:r>
      <w:r>
        <w:rPr/>
        <w:t>Teach a 15-minute Hackles lesson shape (Hook 2, Activity 8, Discuss 3, Takeaway 2).</w:t>
      </w:r>
    </w:p>
    <w:p>
      <w:pPr>
        <w:spacing w:before="0" w:after="60"/>
        <w:ind w:left="504" w:hanging="360"/>
      </w:pPr>
      <w:r>
        <w:rPr>
          <w:b/>
          <w:color w:val="2F6F73"/>
        </w:rPr>
        <w:t xml:space="preserve">4. </w:t>
      </w:r>
      <w:r>
        <w:rPr/>
        <w:t>Practice the first minutes after a child's disclosure with fictional cards, and name their own reporting route.</w:t>
      </w:r>
    </w:p>
    <w:p>
      <w:pPr>
        <w:spacing w:before="0" w:after="60"/>
        <w:ind w:left="504" w:hanging="360"/>
      </w:pPr>
      <w:r>
        <w:rPr>
          <w:b/>
          <w:color w:val="2F6F73"/>
        </w:rPr>
        <w:t xml:space="preserve">5. </w:t>
      </w:r>
      <w:r>
        <w:rPr/>
        <w:t>Make a Monday plan.</w:t>
      </w:r>
    </w:p>
    <w:p>
      <w:pPr>
        <w:pStyle w:val="Heading2"/>
        <w:pBdr>
          <w:top w:val="single" w:sz="18" w:space="6" w:color="FF8A3D"/>
        </w:pBdr>
        <w:spacing w:before="320"/>
      </w:pPr>
      <w:r>
        <w:rPr>
          <w:rFonts w:ascii="Courier New" w:hAnsi="Courier New"/>
          <w:b w:val="0"/>
          <w:color w:val="A8400A"/>
          <w:sz w:val="20"/>
        </w:rPr>
        <w:t xml:space="preserve">03  </w:t>
      </w:r>
      <w:r>
        <w:rPr/>
        <w:t>Agenda (360 minutes of instruction)</w:t>
      </w:r>
    </w:p>
    <w:p>
      <w:r>
        <w:rPr/>
        <w:t>Sample day, 8:30 to 3:50. Breaks and lunch are not counted. The instructional minutes below add up to 360.</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17"/>
        <w:gridCol w:w="566"/>
        <w:gridCol w:w="5098"/>
        <w:gridCol w:w="2711"/>
      </w:tblGrid>
      <w:tr>
        <w:trPr>
          <w:tblHeader/>
          <w:cantSplit/>
        </w:trPr>
        <w:tc>
          <w:tcPr>
            <w:tcW w:type="dxa" w:w="14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 (SAMPLE)</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50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27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8:30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5098"/>
            <w:tcMar>
              <w:top w:w="50" w:type="dxa"/>
              <w:left w:w="90" w:type="dxa"/>
              <w:bottom w:w="60" w:type="dxa"/>
              <w:right w:w="90" w:type="dxa"/>
            </w:tcMar>
          </w:tcPr>
          <w:p>
            <w:pPr>
              <w:spacing w:before="0" w:after="0" w:line="252" w:lineRule="auto"/>
            </w:pPr>
            <w:r>
              <w:rPr>
                <w:rFonts w:ascii="Calibri" w:hAnsi="Calibri"/>
                <w:sz w:val="19"/>
              </w:rPr>
              <w:t>Welcome, group agreements, Gut-Check Line-Up</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1</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8:40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5098"/>
            <w:tcMar>
              <w:top w:w="50" w:type="dxa"/>
              <w:left w:w="90" w:type="dxa"/>
              <w:bottom w:w="60" w:type="dxa"/>
              <w:right w:w="90" w:type="dxa"/>
            </w:tcMar>
          </w:tcPr>
          <w:p>
            <w:pPr>
              <w:spacing w:before="0" w:after="0" w:line="252" w:lineRule="auto"/>
            </w:pPr>
            <w:r>
              <w:rPr>
                <w:rFonts w:ascii="Calibri" w:hAnsi="Calibri"/>
                <w:sz w:val="19"/>
              </w:rPr>
              <w:t>Why this, why us: skills not scares; the routine and hand signals</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2; Academy Module 1</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8:55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5098"/>
            <w:tcMar>
              <w:top w:w="50" w:type="dxa"/>
              <w:left w:w="90" w:type="dxa"/>
              <w:bottom w:w="60" w:type="dxa"/>
              <w:right w:w="90" w:type="dxa"/>
            </w:tcMar>
          </w:tcPr>
          <w:p>
            <w:pPr>
              <w:spacing w:before="0" w:after="0" w:line="252" w:lineRule="auto"/>
            </w:pPr>
            <w:r>
              <w:rPr>
                <w:rFonts w:ascii="Calibri" w:hAnsi="Calibri"/>
                <w:sz w:val="19"/>
              </w:rPr>
              <w:t>Honesty Map and the seven risk families</w:t>
            </w:r>
          </w:p>
        </w:tc>
        <w:tc>
          <w:tcPr>
            <w:tcW w:type="dxa" w:w="2711"/>
            <w:tcMar>
              <w:top w:w="50" w:type="dxa"/>
              <w:left w:w="90" w:type="dxa"/>
              <w:bottom w:w="60" w:type="dxa"/>
              <w:right w:w="90" w:type="dxa"/>
            </w:tcMar>
          </w:tcPr>
          <w:p>
            <w:pPr>
              <w:spacing w:before="0" w:after="0" w:line="252" w:lineRule="auto"/>
            </w:pPr>
            <w:r>
              <w:rPr>
                <w:rFonts w:ascii="Calibri" w:hAnsi="Calibri"/>
                <w:sz w:val="19"/>
              </w:rPr>
              <w:t>Module 1, Activity 1.1</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9:10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5098"/>
            <w:tcMar>
              <w:top w:w="50" w:type="dxa"/>
              <w:left w:w="90" w:type="dxa"/>
              <w:bottom w:w="60" w:type="dxa"/>
              <w:right w:w="90" w:type="dxa"/>
            </w:tcMar>
          </w:tcPr>
          <w:p>
            <w:pPr>
              <w:spacing w:before="0" w:after="0" w:line="252" w:lineRule="auto"/>
            </w:pPr>
            <w:r>
              <w:rPr>
                <w:rFonts w:ascii="Calibri" w:hAnsi="Calibri"/>
                <w:sz w:val="19"/>
              </w:rPr>
              <w:t>Number Detective: trace one statistic to its source</w:t>
            </w:r>
          </w:p>
        </w:tc>
        <w:tc>
          <w:tcPr>
            <w:tcW w:type="dxa" w:w="2711"/>
            <w:tcMar>
              <w:top w:w="50" w:type="dxa"/>
              <w:left w:w="90" w:type="dxa"/>
              <w:bottom w:w="60" w:type="dxa"/>
              <w:right w:w="90" w:type="dxa"/>
            </w:tcMar>
          </w:tcPr>
          <w:p>
            <w:pPr>
              <w:spacing w:before="0" w:after="0" w:line="252" w:lineRule="auto"/>
            </w:pPr>
            <w:r>
              <w:rPr>
                <w:rFonts w:ascii="Calibri" w:hAnsi="Calibri"/>
                <w:sz w:val="19"/>
              </w:rPr>
              <w:t>Module 1, Activity 1.2</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9:20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5098"/>
            <w:tcMar>
              <w:top w:w="50" w:type="dxa"/>
              <w:left w:w="90" w:type="dxa"/>
              <w:bottom w:w="60" w:type="dxa"/>
              <w:right w:w="90" w:type="dxa"/>
            </w:tcMar>
          </w:tcPr>
          <w:p>
            <w:pPr>
              <w:spacing w:before="0" w:after="0" w:line="252" w:lineRule="auto"/>
            </w:pPr>
            <w:r>
              <w:rPr>
                <w:rFonts w:ascii="Calibri" w:hAnsi="Calibri"/>
                <w:sz w:val="19"/>
              </w:rPr>
              <w:t>Fake Phish Derby with the SPOT and FLAGS card</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3; Handouts H4, H8</w:t>
            </w:r>
          </w:p>
        </w:tc>
      </w:tr>
      <w:tr>
        <w:trPr>
          <w:cantSplit/>
          <w:trHeight w:val="432"/>
        </w:trPr>
        <w:tc>
          <w:tcPr>
            <w:tcW w:type="dxa" w:w="1417"/>
            <w:tcMar>
              <w:top w:w="50" w:type="dxa"/>
              <w:left w:w="0" w:type="dxa"/>
              <w:bottom w:w="60" w:type="dxa"/>
              <w:right w:w="90" w:type="dxa"/>
            </w:tcMar>
          </w:tcPr>
          <w:p>
            <w:pPr>
              <w:spacing w:before="0" w:after="0" w:line="252" w:lineRule="auto"/>
            </w:pPr>
            <w:r>
              <w:rPr>
                <w:rFonts w:ascii="Calibri" w:hAnsi="Calibri"/>
                <w:sz w:val="19"/>
              </w:rPr>
              <w:t>9:50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5098"/>
            <w:tcMar>
              <w:top w:w="50" w:type="dxa"/>
              <w:left w:w="90" w:type="dxa"/>
              <w:bottom w:w="60" w:type="dxa"/>
              <w:right w:w="90" w:type="dxa"/>
            </w:tcMar>
          </w:tcPr>
          <w:p>
            <w:pPr>
              <w:spacing w:before="0" w:after="0" w:line="252" w:lineRule="auto"/>
            </w:pPr>
            <w:r>
              <w:rPr>
                <w:rFonts w:ascii="Calibri" w:hAnsi="Calibri"/>
                <w:sz w:val="19"/>
              </w:rPr>
              <w:t>Break (not counted)</w:t>
            </w:r>
          </w:p>
        </w:tc>
        <w:tc>
          <w:tcPr>
            <w:tcW w:type="dxa" w:w="2711"/>
            <w:tcMar>
              <w:top w:w="50" w:type="dxa"/>
              <w:left w:w="90" w:type="dxa"/>
              <w:bottom w:w="60" w:type="dxa"/>
              <w:right w:w="90" w:type="dxa"/>
            </w:tcMar>
          </w:tcPr>
          <w:p>
            <w:pPr>
              <w:spacing w:before="0" w:after="0" w:line="252" w:lineRule="auto"/>
            </w:pP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10:05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5098"/>
            <w:tcMar>
              <w:top w:w="50" w:type="dxa"/>
              <w:left w:w="90" w:type="dxa"/>
              <w:bottom w:w="60" w:type="dxa"/>
              <w:right w:w="90" w:type="dxa"/>
            </w:tcMar>
          </w:tcPr>
          <w:p>
            <w:pPr>
              <w:spacing w:before="0" w:after="0" w:line="252" w:lineRule="auto"/>
            </w:pPr>
            <w:r>
              <w:rPr>
                <w:rFonts w:ascii="Calibri" w:hAnsi="Calibri"/>
                <w:sz w:val="19"/>
              </w:rPr>
              <w:t>Pit Crew Stations: Passphrase Pit and Two Locks (Demos 1 and 6), Real or Fake? (Demo 12)</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4; Concepts Lab</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10:35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5098"/>
            <w:tcMar>
              <w:top w:w="50" w:type="dxa"/>
              <w:left w:w="90" w:type="dxa"/>
              <w:bottom w:w="60" w:type="dxa"/>
              <w:right w:w="90" w:type="dxa"/>
            </w:tcMar>
          </w:tcPr>
          <w:p>
            <w:pPr>
              <w:spacing w:before="0" w:after="0" w:line="252" w:lineRule="auto"/>
            </w:pPr>
            <w:r>
              <w:rPr>
                <w:rFonts w:ascii="Calibri" w:hAnsi="Calibri"/>
                <w:sz w:val="19"/>
              </w:rPr>
              <w:t>Fix the Fear Lesson; shame-free language</w:t>
            </w:r>
          </w:p>
        </w:tc>
        <w:tc>
          <w:tcPr>
            <w:tcW w:type="dxa" w:w="2711"/>
            <w:tcMar>
              <w:top w:w="50" w:type="dxa"/>
              <w:left w:w="90" w:type="dxa"/>
              <w:bottom w:w="60" w:type="dxa"/>
              <w:right w:w="90" w:type="dxa"/>
            </w:tcMar>
          </w:tcPr>
          <w:p>
            <w:pPr>
              <w:spacing w:before="0" w:after="0" w:line="252" w:lineRule="auto"/>
            </w:pPr>
            <w:r>
              <w:rPr>
                <w:rFonts w:ascii="Calibri" w:hAnsi="Calibri"/>
                <w:sz w:val="19"/>
              </w:rPr>
              <w:t>Module 4</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11:00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5098"/>
            <w:tcMar>
              <w:top w:w="50" w:type="dxa"/>
              <w:left w:w="90" w:type="dxa"/>
              <w:bottom w:w="60" w:type="dxa"/>
              <w:right w:w="90" w:type="dxa"/>
            </w:tcMar>
          </w:tcPr>
          <w:p>
            <w:pPr>
              <w:spacing w:before="0" w:after="0" w:line="252" w:lineRule="auto"/>
            </w:pPr>
            <w:r>
              <w:rPr>
                <w:rFonts w:ascii="Calibri" w:hAnsi="Calibri"/>
                <w:sz w:val="19"/>
              </w:rPr>
              <w:t>Anatomy of the 15-minute lesson</w:t>
            </w:r>
          </w:p>
        </w:tc>
        <w:tc>
          <w:tcPr>
            <w:tcW w:type="dxa" w:w="2711"/>
            <w:tcMar>
              <w:top w:w="50" w:type="dxa"/>
              <w:left w:w="90" w:type="dxa"/>
              <w:bottom w:w="60" w:type="dxa"/>
              <w:right w:w="90" w:type="dxa"/>
            </w:tcMar>
          </w:tcPr>
          <w:p>
            <w:pPr>
              <w:spacing w:before="0" w:after="0" w:line="252" w:lineRule="auto"/>
            </w:pPr>
            <w:r>
              <w:rPr>
                <w:rFonts w:ascii="Calibri" w:hAnsi="Calibri"/>
                <w:sz w:val="19"/>
              </w:rPr>
              <w:t>Module 5</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11:20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5098"/>
            <w:tcMar>
              <w:top w:w="50" w:type="dxa"/>
              <w:left w:w="90" w:type="dxa"/>
              <w:bottom w:w="60" w:type="dxa"/>
              <w:right w:w="90" w:type="dxa"/>
            </w:tcMar>
          </w:tcPr>
          <w:p>
            <w:pPr>
              <w:spacing w:before="0" w:after="0" w:line="252" w:lineRule="auto"/>
            </w:pPr>
            <w:r>
              <w:rPr>
                <w:rFonts w:ascii="Calibri" w:hAnsi="Calibri"/>
                <w:sz w:val="19"/>
              </w:rPr>
              <w:t>Say-It-Right Relay</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5; Handout H10</w:t>
            </w:r>
          </w:p>
        </w:tc>
      </w:tr>
      <w:tr>
        <w:trPr>
          <w:cantSplit/>
          <w:trHeight w:val="432"/>
        </w:trPr>
        <w:tc>
          <w:tcPr>
            <w:tcW w:type="dxa" w:w="1417"/>
            <w:tcMar>
              <w:top w:w="50" w:type="dxa"/>
              <w:left w:w="0" w:type="dxa"/>
              <w:bottom w:w="60" w:type="dxa"/>
              <w:right w:w="90" w:type="dxa"/>
            </w:tcMar>
          </w:tcPr>
          <w:p>
            <w:pPr>
              <w:spacing w:before="0" w:after="0" w:line="252" w:lineRule="auto"/>
            </w:pPr>
            <w:r>
              <w:rPr>
                <w:rFonts w:ascii="Calibri" w:hAnsi="Calibri"/>
                <w:sz w:val="19"/>
              </w:rPr>
              <w:t>11:35</w:t>
            </w:r>
          </w:p>
        </w:tc>
        <w:tc>
          <w:tcPr>
            <w:tcW w:type="dxa" w:w="566"/>
            <w:tcMar>
              <w:top w:w="50" w:type="dxa"/>
              <w:left w:w="90" w:type="dxa"/>
              <w:bottom w:w="60" w:type="dxa"/>
              <w:right w:w="90" w:type="dxa"/>
            </w:tcMar>
          </w:tcPr>
          <w:p>
            <w:pPr>
              <w:spacing w:before="0" w:after="0" w:line="252" w:lineRule="auto"/>
            </w:pPr>
            <w:r>
              <w:rPr>
                <w:rFonts w:ascii="Calibri" w:hAnsi="Calibri"/>
                <w:sz w:val="19"/>
              </w:rPr>
              <w:t>(45)</w:t>
            </w:r>
          </w:p>
        </w:tc>
        <w:tc>
          <w:tcPr>
            <w:tcW w:type="dxa" w:w="5098"/>
            <w:tcMar>
              <w:top w:w="50" w:type="dxa"/>
              <w:left w:w="90" w:type="dxa"/>
              <w:bottom w:w="60" w:type="dxa"/>
              <w:right w:w="90" w:type="dxa"/>
            </w:tcMar>
          </w:tcPr>
          <w:p>
            <w:pPr>
              <w:spacing w:before="0" w:after="0" w:line="252" w:lineRule="auto"/>
            </w:pPr>
            <w:r>
              <w:rPr>
                <w:rFonts w:ascii="Calibri" w:hAnsi="Calibri"/>
                <w:sz w:val="19"/>
              </w:rPr>
              <w:t>Lunch (not counted)</w:t>
            </w:r>
          </w:p>
        </w:tc>
        <w:tc>
          <w:tcPr>
            <w:tcW w:type="dxa" w:w="2711"/>
            <w:tcMar>
              <w:top w:w="50" w:type="dxa"/>
              <w:left w:w="90" w:type="dxa"/>
              <w:bottom w:w="60" w:type="dxa"/>
              <w:right w:w="90" w:type="dxa"/>
            </w:tcMar>
          </w:tcPr>
          <w:p>
            <w:pPr>
              <w:spacing w:before="0" w:after="0" w:line="252" w:lineRule="auto"/>
            </w:pP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12:20</w:t>
            </w:r>
          </w:p>
        </w:tc>
        <w:tc>
          <w:tcPr>
            <w:tcW w:type="dxa" w:w="566"/>
            <w:tcMar>
              <w:top w:w="50" w:type="dxa"/>
              <w:left w:w="90" w:type="dxa"/>
              <w:bottom w:w="60" w:type="dxa"/>
              <w:right w:w="90" w:type="dxa"/>
            </w:tcMar>
          </w:tcPr>
          <w:p>
            <w:pPr>
              <w:spacing w:before="0" w:after="0" w:line="252" w:lineRule="auto"/>
            </w:pPr>
            <w:r>
              <w:rPr>
                <w:rFonts w:ascii="Calibri" w:hAnsi="Calibri"/>
                <w:sz w:val="19"/>
              </w:rPr>
              <w:t>50</w:t>
            </w:r>
          </w:p>
        </w:tc>
        <w:tc>
          <w:tcPr>
            <w:tcW w:type="dxa" w:w="5098"/>
            <w:tcMar>
              <w:top w:w="50" w:type="dxa"/>
              <w:left w:w="90" w:type="dxa"/>
              <w:bottom w:w="60" w:type="dxa"/>
              <w:right w:w="90" w:type="dxa"/>
            </w:tcMar>
          </w:tcPr>
          <w:p>
            <w:pPr>
              <w:spacing w:before="0" w:after="0" w:line="252" w:lineRule="auto"/>
            </w:pPr>
            <w:r>
              <w:rPr>
                <w:rFonts w:ascii="Calibri" w:hAnsi="Calibri"/>
                <w:sz w:val="19"/>
              </w:rPr>
              <w:t>Speed-teach round: 5-minute versions of standard-care lessons (cards MT1 to MT12), two glows and a grow</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8; Handout H12</w:t>
            </w:r>
          </w:p>
        </w:tc>
      </w:tr>
      <w:tr>
        <w:trPr>
          <w:cantSplit/>
          <w:trHeight w:val="432"/>
        </w:trPr>
        <w:tc>
          <w:tcPr>
            <w:tcW w:type="dxa" w:w="1417"/>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5098"/>
            <w:tcMar>
              <w:top w:w="50" w:type="dxa"/>
              <w:left w:w="90" w:type="dxa"/>
              <w:bottom w:w="60" w:type="dxa"/>
              <w:right w:w="90" w:type="dxa"/>
            </w:tcMar>
          </w:tcPr>
          <w:p>
            <w:pPr>
              <w:spacing w:before="0" w:after="0" w:line="252" w:lineRule="auto"/>
            </w:pPr>
            <w:r>
              <w:rPr>
                <w:rFonts w:ascii="Calibri" w:hAnsi="Calibri"/>
                <w:sz w:val="19"/>
              </w:rPr>
              <w:t>Break (not counted)</w:t>
            </w:r>
          </w:p>
        </w:tc>
        <w:tc>
          <w:tcPr>
            <w:tcW w:type="dxa" w:w="2711"/>
            <w:tcMar>
              <w:top w:w="50" w:type="dxa"/>
              <w:left w:w="90" w:type="dxa"/>
              <w:bottom w:w="60" w:type="dxa"/>
              <w:right w:w="90" w:type="dxa"/>
            </w:tcMar>
          </w:tcPr>
          <w:p>
            <w:pPr>
              <w:spacing w:before="0" w:after="0" w:line="252" w:lineRule="auto"/>
            </w:pP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1:20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5098"/>
            <w:tcMar>
              <w:top w:w="50" w:type="dxa"/>
              <w:left w:w="90" w:type="dxa"/>
              <w:bottom w:w="60" w:type="dxa"/>
              <w:right w:w="90" w:type="dxa"/>
            </w:tcMar>
          </w:tcPr>
          <w:p>
            <w:pPr>
              <w:spacing w:before="0" w:after="0" w:line="252" w:lineRule="auto"/>
            </w:pPr>
            <w:r>
              <w:rPr>
                <w:rFonts w:ascii="Calibri" w:hAnsi="Calibri"/>
                <w:sz w:val="19"/>
              </w:rPr>
              <w:t>Mandated reporting: the five questions; your Contact Card</w:t>
            </w:r>
          </w:p>
        </w:tc>
        <w:tc>
          <w:tcPr>
            <w:tcW w:type="dxa" w:w="2711"/>
            <w:tcMar>
              <w:top w:w="50" w:type="dxa"/>
              <w:left w:w="90" w:type="dxa"/>
              <w:bottom w:w="60" w:type="dxa"/>
              <w:right w:w="90" w:type="dxa"/>
            </w:tcMar>
          </w:tcPr>
          <w:p>
            <w:pPr>
              <w:spacing w:before="0" w:after="0" w:line="252" w:lineRule="auto"/>
            </w:pPr>
            <w:r>
              <w:rPr>
                <w:rFonts w:ascii="Calibri" w:hAnsi="Calibri"/>
                <w:sz w:val="19"/>
              </w:rPr>
              <w:t>Module 6</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1:35</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5098"/>
            <w:tcMar>
              <w:top w:w="50" w:type="dxa"/>
              <w:left w:w="90" w:type="dxa"/>
              <w:bottom w:w="60" w:type="dxa"/>
              <w:right w:w="90" w:type="dxa"/>
            </w:tcMar>
          </w:tcPr>
          <w:p>
            <w:pPr>
              <w:spacing w:before="0" w:after="0" w:line="252" w:lineRule="auto"/>
            </w:pPr>
            <w:r>
              <w:rPr>
                <w:rFonts w:ascii="Calibri" w:hAnsi="Calibri"/>
                <w:sz w:val="19"/>
              </w:rPr>
              <w:t>The First 10 Minutes and Say It Out Loud</w:t>
            </w:r>
          </w:p>
        </w:tc>
        <w:tc>
          <w:tcPr>
            <w:tcW w:type="dxa" w:w="2711"/>
            <w:tcMar>
              <w:top w:w="50" w:type="dxa"/>
              <w:left w:w="90" w:type="dxa"/>
              <w:bottom w:w="60" w:type="dxa"/>
              <w:right w:w="90" w:type="dxa"/>
            </w:tcMar>
          </w:tcPr>
          <w:p>
            <w:pPr>
              <w:spacing w:before="0" w:after="0" w:line="252" w:lineRule="auto"/>
            </w:pPr>
            <w:r>
              <w:rPr>
                <w:rFonts w:ascii="Calibri" w:hAnsi="Calibri"/>
                <w:sz w:val="19"/>
              </w:rPr>
              <w:t>Module 6</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1:55</w:t>
            </w:r>
          </w:p>
        </w:tc>
        <w:tc>
          <w:tcPr>
            <w:tcW w:type="dxa" w:w="566"/>
            <w:tcMar>
              <w:top w:w="50" w:type="dxa"/>
              <w:left w:w="90" w:type="dxa"/>
              <w:bottom w:w="60" w:type="dxa"/>
              <w:right w:w="90" w:type="dxa"/>
            </w:tcMar>
          </w:tcPr>
          <w:p>
            <w:pPr>
              <w:spacing w:before="0" w:after="0" w:line="252" w:lineRule="auto"/>
            </w:pPr>
            <w:r>
              <w:rPr>
                <w:rFonts w:ascii="Calibri" w:hAnsi="Calibri"/>
                <w:sz w:val="19"/>
              </w:rPr>
              <w:t>45</w:t>
            </w:r>
          </w:p>
        </w:tc>
        <w:tc>
          <w:tcPr>
            <w:tcW w:type="dxa" w:w="5098"/>
            <w:tcMar>
              <w:top w:w="50" w:type="dxa"/>
              <w:left w:w="90" w:type="dxa"/>
              <w:bottom w:w="60" w:type="dxa"/>
              <w:right w:w="90" w:type="dxa"/>
            </w:tcMar>
          </w:tcPr>
          <w:p>
            <w:pPr>
              <w:spacing w:before="0" w:after="0" w:line="252" w:lineRule="auto"/>
            </w:pPr>
            <w:r>
              <w:rPr>
                <w:rFonts w:ascii="Calibri" w:hAnsi="Calibri"/>
                <w:sz w:val="19"/>
              </w:rPr>
              <w:t>Disclosure Role-Play with Safety Rails (counselor partner present): framing, demonstration, three rounds, de-role</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6; Handout H11</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2:40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5098"/>
            <w:tcMar>
              <w:top w:w="50" w:type="dxa"/>
              <w:left w:w="90" w:type="dxa"/>
              <w:bottom w:w="60" w:type="dxa"/>
              <w:right w:w="90" w:type="dxa"/>
            </w:tcMar>
          </w:tcPr>
          <w:p>
            <w:pPr>
              <w:spacing w:before="0" w:after="0" w:line="252" w:lineRule="auto"/>
            </w:pPr>
            <w:r>
              <w:rPr>
                <w:rFonts w:ascii="Calibri" w:hAnsi="Calibri"/>
                <w:sz w:val="19"/>
              </w:rPr>
              <w:t>Taking care of you</w:t>
            </w:r>
          </w:p>
        </w:tc>
        <w:tc>
          <w:tcPr>
            <w:tcW w:type="dxa" w:w="2711"/>
            <w:tcMar>
              <w:top w:w="50" w:type="dxa"/>
              <w:left w:w="90" w:type="dxa"/>
              <w:bottom w:w="60" w:type="dxa"/>
              <w:right w:w="90" w:type="dxa"/>
            </w:tcMar>
          </w:tcPr>
          <w:p>
            <w:pPr>
              <w:spacing w:before="0" w:after="0" w:line="252" w:lineRule="auto"/>
            </w:pPr>
            <w:r>
              <w:rPr>
                <w:rFonts w:ascii="Calibri" w:hAnsi="Calibri"/>
                <w:sz w:val="19"/>
              </w:rPr>
              <w:t>Module 6, Part 6</w:t>
            </w:r>
          </w:p>
        </w:tc>
      </w:tr>
      <w:tr>
        <w:trPr>
          <w:cantSplit/>
          <w:trHeight w:val="432"/>
        </w:trPr>
        <w:tc>
          <w:tcPr>
            <w:tcW w:type="dxa" w:w="1417"/>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5098"/>
            <w:tcMar>
              <w:top w:w="50" w:type="dxa"/>
              <w:left w:w="90" w:type="dxa"/>
              <w:bottom w:w="60" w:type="dxa"/>
              <w:right w:w="90" w:type="dxa"/>
            </w:tcMar>
          </w:tcPr>
          <w:p>
            <w:pPr>
              <w:spacing w:before="0" w:after="0" w:line="252" w:lineRule="auto"/>
            </w:pPr>
            <w:r>
              <w:rPr>
                <w:rFonts w:ascii="Calibri" w:hAnsi="Calibri"/>
                <w:sz w:val="19"/>
              </w:rPr>
              <w:t>Break (not counted)</w:t>
            </w:r>
          </w:p>
        </w:tc>
        <w:tc>
          <w:tcPr>
            <w:tcW w:type="dxa" w:w="2711"/>
            <w:tcMar>
              <w:top w:w="50" w:type="dxa"/>
              <w:left w:w="90" w:type="dxa"/>
              <w:bottom w:w="60" w:type="dxa"/>
              <w:right w:w="90" w:type="dxa"/>
            </w:tcMar>
          </w:tcPr>
          <w:p>
            <w:pPr>
              <w:spacing w:before="0" w:after="0" w:line="252" w:lineRule="auto"/>
            </w:pP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3:00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5098"/>
            <w:tcMar>
              <w:top w:w="50" w:type="dxa"/>
              <w:left w:w="90" w:type="dxa"/>
              <w:bottom w:w="60" w:type="dxa"/>
              <w:right w:w="90" w:type="dxa"/>
            </w:tcMar>
          </w:tcPr>
          <w:p>
            <w:pPr>
              <w:spacing w:before="0" w:after="0" w:line="252" w:lineRule="auto"/>
            </w:pPr>
            <w:r>
              <w:rPr>
                <w:rFonts w:ascii="Calibri" w:hAnsi="Calibri"/>
                <w:sz w:val="19"/>
              </w:rPr>
              <w:t>Every learner and every family: Inclusion Audit (10 minutes) and L.E.A.R.N. (15 minutes)</w:t>
            </w:r>
          </w:p>
        </w:tc>
        <w:tc>
          <w:tcPr>
            <w:tcW w:type="dxa" w:w="2711"/>
            <w:tcMar>
              <w:top w:w="50" w:type="dxa"/>
              <w:left w:w="90" w:type="dxa"/>
              <w:bottom w:w="60" w:type="dxa"/>
              <w:right w:w="90" w:type="dxa"/>
            </w:tcMar>
          </w:tcPr>
          <w:p>
            <w:pPr>
              <w:spacing w:before="0" w:after="0" w:line="252" w:lineRule="auto"/>
            </w:pPr>
            <w:r>
              <w:rPr>
                <w:rFonts w:ascii="Calibri" w:hAnsi="Calibri"/>
                <w:sz w:val="19"/>
              </w:rPr>
              <w:t>Module 7</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3:25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5098"/>
            <w:tcMar>
              <w:top w:w="50" w:type="dxa"/>
              <w:left w:w="90" w:type="dxa"/>
              <w:bottom w:w="60" w:type="dxa"/>
              <w:right w:w="90" w:type="dxa"/>
            </w:tcMar>
          </w:tcPr>
          <w:p>
            <w:pPr>
              <w:spacing w:before="0" w:after="0" w:line="252" w:lineRule="auto"/>
            </w:pPr>
            <w:r>
              <w:rPr>
                <w:rFonts w:ascii="Calibri" w:hAnsi="Calibri"/>
                <w:sz w:val="19"/>
              </w:rPr>
              <w:t>Monday plan and commitment walk</w:t>
            </w:r>
          </w:p>
        </w:tc>
        <w:tc>
          <w:tcPr>
            <w:tcW w:type="dxa" w:w="2711"/>
            <w:tcMar>
              <w:top w:w="50" w:type="dxa"/>
              <w:left w:w="90" w:type="dxa"/>
              <w:bottom w:w="60" w:type="dxa"/>
              <w:right w:w="90" w:type="dxa"/>
            </w:tcMar>
          </w:tcPr>
          <w:p>
            <w:pPr>
              <w:spacing w:before="0" w:after="0" w:line="252" w:lineRule="auto"/>
            </w:pPr>
            <w:r>
              <w:rPr>
                <w:rFonts w:ascii="Calibri" w:hAnsi="Calibri"/>
                <w:sz w:val="19"/>
              </w:rPr>
              <w:t>Half-Day Guide, Segment 9</w:t>
            </w:r>
          </w:p>
        </w:tc>
      </w:tr>
      <w:tr>
        <w:trPr>
          <w:cantSplit/>
        </w:trPr>
        <w:tc>
          <w:tcPr>
            <w:tcW w:type="dxa" w:w="1417"/>
            <w:tcMar>
              <w:top w:w="50" w:type="dxa"/>
              <w:left w:w="0" w:type="dxa"/>
              <w:bottom w:w="60" w:type="dxa"/>
              <w:right w:w="90" w:type="dxa"/>
            </w:tcMar>
          </w:tcPr>
          <w:p>
            <w:pPr>
              <w:spacing w:before="0" w:after="0" w:line="252" w:lineRule="auto"/>
            </w:pPr>
            <w:r>
              <w:rPr>
                <w:rFonts w:ascii="Calibri" w:hAnsi="Calibri"/>
                <w:sz w:val="19"/>
              </w:rPr>
              <w:t>3:40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5098"/>
            <w:tcMar>
              <w:top w:w="50" w:type="dxa"/>
              <w:left w:w="90" w:type="dxa"/>
              <w:bottom w:w="60" w:type="dxa"/>
              <w:right w:w="90" w:type="dxa"/>
            </w:tcMar>
          </w:tcPr>
          <w:p>
            <w:pPr>
              <w:spacing w:before="0" w:after="0" w:line="252" w:lineRule="auto"/>
            </w:pPr>
            <w:r>
              <w:rPr>
                <w:rFonts w:ascii="Calibri" w:hAnsi="Calibri"/>
                <w:sz w:val="19"/>
              </w:rPr>
              <w:t>Closing, short evaluation form, certificates</w:t>
            </w:r>
          </w:p>
        </w:tc>
        <w:tc>
          <w:tcPr>
            <w:tcW w:type="dxa" w:w="2711"/>
            <w:tcMar>
              <w:top w:w="50" w:type="dxa"/>
              <w:left w:w="90" w:type="dxa"/>
              <w:bottom w:w="60" w:type="dxa"/>
              <w:right w:w="90" w:type="dxa"/>
            </w:tcMar>
          </w:tcPr>
          <w:p>
            <w:pPr>
              <w:spacing w:before="0" w:after="0" w:line="252" w:lineRule="auto"/>
            </w:pPr>
            <w:r>
              <w:rPr>
                <w:rFonts w:ascii="Calibri" w:hAnsi="Calibri"/>
                <w:sz w:val="19"/>
              </w:rPr>
              <w:t>Facilitator Evaluation Section 2</w:t>
            </w:r>
          </w:p>
        </w:tc>
      </w:tr>
    </w:tbl>
    <w:p>
      <w:pPr>
        <w:spacing w:before="0" w:after="0" w:line="160" w:lineRule="exact"/>
      </w:pPr>
      <w:r>
        <w:rPr>
          <w:sz w:val="2"/>
        </w:rPr>
      </w:r>
    </w:p>
    <w:p>
      <w:r>
        <w:rPr/>
        <w:t>Total instructional minutes: 10 + 15 + 15 + 10 + 30 + 30 + 25 + 20 + 15 + 50 + 15 + 20 + 45 + 10 + 25 + 15 + 10 = 360.</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Timing honesty.</w:t>
            </w:r>
            <w:r>
              <w:rPr>
                <w:sz w:val="19"/>
              </w:rPr>
              <w:t xml:space="preserve"> This agenda is a sample. The number printed on every certificate must equal the instructional minutes you actually ran, divided by 60. If the day ran 345 minutes, write 5.75 hours. Do not round up. Never cut the de-role in the disclosure segment; cut the Pit Crew Stations first.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Safeguards</w:t>
      </w:r>
    </w:p>
    <w:p>
      <w:pPr>
        <w:pStyle w:val="ListBullet"/>
      </w:pPr>
      <w:r>
        <w:rPr/>
        <w:t>All role-play cards are fictional and non-graphic. Traffic-light cards. No points, no audience, no timers shown in the disclosure segment. The counselor partner is in the room or just outside. De-role every time ("I'm [name], that was pretend").</w:t>
      </w:r>
    </w:p>
    <w:p>
      <w:pPr>
        <w:pStyle w:val="ListBullet"/>
      </w:pPr>
      <w:r>
        <w:rPr/>
        <w:t>Participants never bring student names, work or incident details. If someone starts to tell a real story, redirect: "Skills only, no stories."</w:t>
      </w:r>
    </w:p>
    <w:p>
      <w:pPr>
        <w:pStyle w:val="ListBullet"/>
      </w:pPr>
      <w:r>
        <w:rPr/>
        <w:t>Anyone may pass, step out or watch. Offer a written alternative.</w:t>
      </w:r>
    </w:p>
    <w:p>
      <w:pPr>
        <w:pStyle w:val="ListBullet"/>
      </w:pPr>
      <w:r>
        <w:rPr/>
        <w:t>Do not turn the disclosure segment into a game.</w:t>
      </w:r>
    </w:p>
    <w:p>
      <w:pPr>
        <w:pStyle w:val="Heading2"/>
        <w:pBdr>
          <w:top w:val="single" w:sz="18" w:space="6" w:color="FF8A3D"/>
        </w:pBdr>
        <w:spacing w:before="320"/>
      </w:pPr>
      <w:r>
        <w:rPr>
          <w:rFonts w:ascii="Courier New" w:hAnsi="Courier New"/>
          <w:b w:val="0"/>
          <w:color w:val="A8400A"/>
          <w:sz w:val="20"/>
        </w:rPr>
        <w:t xml:space="preserve">05  </w:t>
      </w:r>
      <w:r>
        <w:rPr/>
        <w:t>Hours, certificates and credit language</w:t>
      </w:r>
    </w:p>
    <w:p>
      <w:r>
        <w:rPr/>
        <w:t>This section is the part to copy. It says what the program gives and does not give.</w:t>
      </w:r>
    </w:p>
    <w:p>
      <w:r>
        <w:rPr>
          <w:b/>
        </w:rPr>
        <w:t>Use this on flyers, registration pages and certificates.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What you receive.</w:t>
            </w:r>
            <w:r>
              <w:rPr>
                <w:sz w:val="19"/>
              </w:rPr>
              <w:t xml:space="preserve"> A certificate of participation showing [NUMBER] clock hours of instruction, issued by [INSTITUTION OR ORGANIZATION].</w:t>
            </w:r>
          </w:p>
          <w:p>
            <w:pPr>
              <w:spacing w:before="0" w:after="60" w:line="259" w:lineRule="auto"/>
            </w:pPr>
            <w:r>
              <w:rPr>
                <w:b/>
                <w:sz w:val="19"/>
              </w:rPr>
              <w:t>What this program is not.</w:t>
            </w:r>
            <w:r>
              <w:rPr>
                <w:sz w:val="19"/>
              </w:rPr>
              <w:t xml:space="preserve"> This program has not been reviewed, approved or endorsed by any state education agency, accrediting body, licensing board or school district, and it is not an approved provider of continuing education units, in-service points or recertification credit. Whether your employer or state recognizes these hours is a local decision. Please ask your district or state agency before you register. [VERIFY with counsel]</w:t>
            </w:r>
          </w:p>
          <w:p>
            <w:pPr>
              <w:spacing w:before="0" w:after="60" w:line="259" w:lineRule="auto"/>
            </w:pPr>
            <w:r>
              <w:rPr>
                <w:b/>
                <w:sz w:val="19"/>
              </w:rPr>
              <w:t>About the materials.</w:t>
            </w:r>
            <w:r>
              <w:rPr>
                <w:sz w:val="19"/>
              </w:rPr>
              <w:t xml:space="preserve"> Hackles is a free kit from Competence Collective. Lesson text and teaching materials are CC BY-NC 4.0. The Hackles name, logos, characters and artwork are not covered by that license. Hackles has not been evaluated in a controlled trial.</w:t>
            </w:r>
          </w:p>
        </w:tc>
      </w:tr>
    </w:tbl>
    <w:p>
      <w:pPr>
        <w:spacing w:before="0" w:after="0" w:line="160" w:lineRule="exact"/>
      </w:pPr>
      <w:r>
        <w:rPr>
          <w:sz w:val="2"/>
        </w:rPr>
      </w:r>
    </w:p>
    <w:p>
      <w:r>
        <w:rPr>
          <w:b/>
        </w:rPr>
        <w:t>Certificate of participation (print-ready text).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CERTIFICATE OF PARTICIPATION</w:t>
            </w:r>
          </w:p>
          <w:p>
            <w:pPr>
              <w:spacing w:before="0" w:after="60" w:line="259" w:lineRule="auto"/>
            </w:pPr>
            <w:r>
              <w:rPr>
                <w:sz w:val="19"/>
              </w:rPr>
              <w:t>[NAME] participated in "Teaching Digital Safety and Cybersecurity: A 6-Hour Hackles Workshop" on [DATE], [NUMBER] clock hours of instruction.</w:t>
            </w:r>
          </w:p>
          <w:p>
            <w:pPr>
              <w:spacing w:before="0" w:after="60" w:line="259" w:lineRule="auto"/>
            </w:pPr>
            <w:r>
              <w:rPr>
                <w:sz w:val="19"/>
              </w:rPr>
              <w:t>Issued by [INSTITUTION OR ORGANIZATION]. Facilitator: [NAME].</w:t>
            </w:r>
          </w:p>
          <w:p>
            <w:pPr>
              <w:spacing w:before="0" w:after="60" w:line="259" w:lineRule="auto"/>
            </w:pPr>
            <w:r>
              <w:rPr>
                <w:sz w:val="19"/>
              </w:rPr>
              <w:t>This certificate does not indicate approval by any state agency or award of continuing education units or credit. [VERIFY with counsel]</w:t>
            </w:r>
          </w:p>
        </w:tc>
      </w:tr>
    </w:tbl>
    <w:p>
      <w:pPr>
        <w:spacing w:before="0" w:after="0" w:line="160" w:lineRule="exact"/>
      </w:pPr>
      <w:r>
        <w:rPr>
          <w:sz w:val="2"/>
        </w:rPr>
      </w:r>
    </w:p>
    <w:p>
      <w:r>
        <w:rPr>
          <w:b/>
        </w:rPr>
        <w:t>CEU and PD-hour language, if asked.</w:t>
      </w:r>
    </w:p>
    <w:p>
      <w:pPr>
        <w:pStyle w:val="ListBullet"/>
      </w:pPr>
      <w:r>
        <w:rPr/>
        <w:t>Say "clock hours" or "contact hours," not CEUs, unless your institution is authorized to award CEUs. Some systems define one CEU as ten contact hours, which would make six hours 0.6 CEU, but only an authorized provider may award them [VERIFY with your institution and any accrediting body that applies].</w:t>
      </w:r>
    </w:p>
    <w:p>
      <w:pPr>
        <w:pStyle w:val="ListBullet"/>
      </w:pPr>
      <w:r>
        <w:rPr/>
        <w:t>Do not write "approved," "accredited," "state-approved," "recertification credit" or "meets the requirement" anywhere.</w:t>
      </w:r>
    </w:p>
    <w:p>
      <w:pPr>
        <w:pStyle w:val="ListBullet"/>
      </w:pPr>
      <w:r>
        <w:rPr/>
        <w:t>If a participant's district wants to count the hours, supply the agenda, the hours actually delivered, the learning outcomes and the sign-in record. The district decides.</w:t>
      </w:r>
    </w:p>
    <w:p>
      <w:pPr>
        <w:pStyle w:val="ListBullet"/>
      </w:pPr>
      <w:r>
        <w:rPr/>
        <w:t>If you want formal approval, apply to the relevant state agency or district through its own process. Competence Collective does not hold or apply for approvals on your behalf.</w:t>
      </w:r>
    </w:p>
    <w:p>
      <w:pPr>
        <w:pStyle w:val="Heading2"/>
        <w:pBdr>
          <w:top w:val="single" w:sz="18" w:space="6" w:color="FF8A3D"/>
        </w:pBdr>
        <w:spacing w:before="320"/>
      </w:pPr>
      <w:r>
        <w:rPr>
          <w:rFonts w:ascii="Courier New" w:hAnsi="Courier New"/>
          <w:b w:val="0"/>
          <w:color w:val="A8400A"/>
          <w:sz w:val="20"/>
        </w:rPr>
        <w:t xml:space="preserve">06  </w:t>
      </w:r>
      <w:r>
        <w:rPr/>
        <w:t>Attendance and records</w:t>
      </w:r>
    </w:p>
    <w:p>
      <w:pPr>
        <w:pStyle w:val="ListBullet"/>
      </w:pPr>
      <w:r>
        <w:rPr/>
        <w:t>A sign-in sheet at start, after lunch and at close. Keep first and last names only, plus the email if the participant wants the certificate. Keep sign-in sheets only as long as your policy requires [VERIFY].</w:t>
      </w:r>
    </w:p>
    <w:p>
      <w:pPr>
        <w:pStyle w:val="ListBullet"/>
      </w:pPr>
      <w:r>
        <w:rPr/>
        <w:t>Late arrivals: hours are counted by minutes present. A participant who misses the disclosure segment does not receive the full certificate for that day, and may make it up with the counselor partner and a written scenario analysis.</w:t>
      </w:r>
    </w:p>
    <w:p>
      <w:pPr>
        <w:pStyle w:val="ListBullet"/>
      </w:pPr>
      <w:r>
        <w:rPr/>
        <w:t>Certificates are issued on the honor system plus attendance.</w:t>
      </w:r>
    </w:p>
    <w:p>
      <w:pPr>
        <w:pStyle w:val="Heading2"/>
        <w:pBdr>
          <w:top w:val="single" w:sz="18" w:space="6" w:color="FF8A3D"/>
        </w:pBdr>
        <w:spacing w:before="320"/>
      </w:pPr>
      <w:r>
        <w:rPr>
          <w:rFonts w:ascii="Courier New" w:hAnsi="Courier New"/>
          <w:b w:val="0"/>
          <w:color w:val="A8400A"/>
          <w:sz w:val="20"/>
        </w:rPr>
        <w:t xml:space="preserve">07  </w:t>
      </w:r>
      <w:r>
        <w:rPr/>
        <w:t>Evaluation (no student data)</w:t>
      </w:r>
    </w:p>
    <w:p>
      <w:pPr>
        <w:pStyle w:val="ListBullet"/>
      </w:pPr>
      <w:r>
        <w:rPr/>
        <w:t>Anonymous two-minute short form at the close (Facilitator Evaluation Section 2).</w:t>
      </w:r>
    </w:p>
    <w:p>
      <w:pPr>
        <w:pStyle w:val="ListBullet"/>
      </w:pPr>
      <w:r>
        <w:rPr/>
        <w:t>Optional 30-day follow-up (3 minutes) and 90-day follow-up (4 minutes), anonymous, from the same section.</w:t>
      </w:r>
    </w:p>
    <w:p>
      <w:pPr>
        <w:pStyle w:val="ListBullet"/>
      </w:pPr>
      <w:r>
        <w:rPr/>
        <w:t>Count and summarize. Share what you learned, not what you proved. Do not say the program works. Say what participants reported.</w:t>
      </w:r>
    </w:p>
    <w:p>
      <w:pPr>
        <w:pStyle w:val="ListBullet"/>
      </w:pPr>
      <w:r>
        <w:rPr/>
        <w:t>Keep the limits paragraph with any report: small group, self-report, no comparison group, short-term.</w:t>
      </w:r>
    </w:p>
    <w:p>
      <w:pPr>
        <w:pStyle w:val="Heading2"/>
        <w:pBdr>
          <w:top w:val="single" w:sz="18" w:space="6" w:color="FF8A3D"/>
        </w:pBdr>
        <w:spacing w:before="320"/>
      </w:pPr>
      <w:r>
        <w:rPr>
          <w:rFonts w:ascii="Courier New" w:hAnsi="Courier New"/>
          <w:b w:val="0"/>
          <w:color w:val="A8400A"/>
          <w:sz w:val="20"/>
        </w:rPr>
        <w:t xml:space="preserve">08  </w:t>
      </w:r>
      <w:r>
        <w:rPr/>
        <w:t>Materials checklist</w:t>
      </w:r>
    </w:p>
    <w:p>
      <w:r>
        <w:rPr/>
        <w:t>Printed: sign-in, group agreements, H3 to H7 cards, Fake Phish cards, station cards, relay cards, micro-teach cards MT1 to MT12, role-play deck H11 with observer checklists and traffic-light cards, Monday plan. Supplies: timers, tape, chart paper, sticky notes, colored paper. Room: space for trios, a quiet area, step-out option, and the counselor partner's location posted.</w:t>
      </w:r>
    </w:p>
    <w:p>
      <w:r>
        <w:rPr>
          <w:i/>
        </w:rPr>
        <w:t>This version is educational guidance, not legal advice.</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COLLEGE EDITION: NON-CREDIT PROFESSIONAL D...</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College Edition: Non-Credit Professional Development Version (6 Hours)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