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Data-Flow Statement</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October 2026</w:t>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It has not been evaluated in a controlled study. Every legal or statistical statement is marked [VERIFY] or [COUNSEL TO CONFIRM]; ask your own counsel before relying on it.</w:t>
      </w:r>
    </w:p>
    <w:p>
      <w:pPr>
        <w:pStyle w:val="Heading2"/>
        <w:pBdr>
          <w:top w:val="single" w:sz="18" w:space="6" w:color="FF8A3D"/>
        </w:pBdr>
        <w:spacing w:before="320"/>
      </w:pPr>
      <w:r>
        <w:rPr/>
        <w:t>The statement</w:t>
      </w:r>
    </w:p>
    <w:p>
      <w:r>
        <w:rPr>
          <w:b/>
        </w:rPr>
        <w:t>No data flows from students, staff or families to Competence Collective or to any third party through the Hackles kit.</w:t>
      </w:r>
    </w:p>
    <w:p>
      <w:r>
        <w:rPr/>
        <w:t>The kit is a set of files. Once a school has copied them, nothing in them contacts any outside server. There are no accounts, no logins, no cookies, no analytics, no advertising code, no third-party scripts and no network calls in the interactive tools. The publisher cannot see who uses a copy, which pages are opened, or what students type or choose.</w:t>
      </w:r>
    </w:p>
    <w:p>
      <w:r>
        <w:rPr/>
        <w:t>This statement describes the kit as built on 2026-10-05. It does not cover anything you add, such as an online form, a survey tool, an LMS that tracks views, or a school web server that logs requests. Those carry their own data flows under your own policies.</w:t>
      </w:r>
    </w:p>
    <w:p>
      <w:pPr>
        <w:pStyle w:val="Heading2"/>
        <w:pBdr>
          <w:top w:val="single" w:sz="18" w:space="6" w:color="FF8A3D"/>
        </w:pBdr>
        <w:spacing w:before="320"/>
      </w:pPr>
      <w:r>
        <w:rPr/>
        <w:t>Diagram (text form)</w:t>
      </w:r>
    </w:p>
    <w:tbl>
      <w:tblPr>
        <w:tblW w:type="dxa" w:w="9792"/>
        <w:tblBorders>
          <w:top w:val="nil"/>
          <w:left w:val="nil"/>
          <w:bottom w:val="nil"/>
          <w:right w:val="nil"/>
          <w:insideH w:val="nil"/>
          <w:insideV w:val="nil"/>
        </w:tblBorders>
        <w:tblLayout w:type="fixed"/>
        <w:tblLayout w:type="fixed"/>
        <w:tblLook w:firstColumn="1" w:firstRow="1" w:lastColumn="0" w:lastRow="0" w:noHBand="0" w:noVBand="1" w:val="04A0"/>
      </w:tblPr>
      <w:tblGrid>
        <w:gridCol w:w="9792"/>
      </w:tblGrid>
      <w:tr>
        <w:tc>
          <w:tcPr>
            <w:tcW w:type="dxa" w:w="9792"/>
            <w:shd w:val="clear" w:color="auto" w:fill="F2E9D2"/>
            <w:tcMar>
              <w:top w:w="80" w:type="dxa"/>
              <w:left w:w="120" w:type="dxa"/>
              <w:bottom w:w="80" w:type="dxa"/>
              <w:right w:w="120" w:type="dxa"/>
            </w:tcMar>
          </w:tcPr>
          <w:p>
            <w:pPr>
              <w:spacing w:before="0" w:after="0" w:line="240" w:lineRule="auto"/>
            </w:pPr>
            <w:r>
              <w:rPr>
                <w:rFonts w:ascii="Consolas" w:hAnsi="Consolas"/>
                <w:sz w:val="17"/>
              </w:rPr>
              <w:t>Competence Collective                  Your school or library</w:t>
            </w:r>
          </w:p>
          <w:p>
            <w:pPr>
              <w:spacing w:before="0" w:after="0" w:line="240" w:lineRule="auto"/>
            </w:pPr>
            <w:r>
              <w:rPr>
                <w:rFonts w:ascii="Consolas" w:hAnsi="Consolas"/>
                <w:sz w:val="17"/>
              </w:rPr>
              <w:t xml:space="preserve">   publishes files   ---download---&gt;   copy of files (zips, PDF, Word, HTML folders)</w:t>
            </w:r>
          </w:p>
          <w:p>
            <w:pPr>
              <w:spacing w:before="0" w:after="0" w:line="240" w:lineRule="auto"/>
            </w:pPr>
            <w:r>
              <w:rPr>
                <w:rFonts w:ascii="Consolas" w:hAnsi="Consolas"/>
                <w:sz w:val="17"/>
              </w:rPr>
              <w:t xml:space="preserve">   (one-way)                           |</w:t>
            </w:r>
          </w:p>
          <w:p>
            <w:pPr>
              <w:spacing w:before="0" w:after="0" w:line="240" w:lineRule="auto"/>
            </w:pPr>
            <w:r>
              <w:rPr>
                <w:rFonts w:ascii="Consolas" w:hAnsi="Consolas"/>
                <w:sz w:val="17"/>
              </w:rPr>
              <w:t xml:space="preserve">                                       +--&gt; printed paper --&gt; classroom, families</w:t>
            </w:r>
          </w:p>
          <w:p>
            <w:pPr>
              <w:spacing w:before="0" w:after="0" w:line="240" w:lineRule="auto"/>
            </w:pPr>
            <w:r>
              <w:rPr>
                <w:rFonts w:ascii="Consolas" w:hAnsi="Consolas"/>
                <w:sz w:val="17"/>
              </w:rPr>
              <w:t xml:space="preserve">                                       +--&gt; your web server, LMS or shared drive</w:t>
            </w:r>
          </w:p>
          <w:p>
            <w:pPr>
              <w:spacing w:before="0" w:after="0" w:line="240" w:lineRule="auto"/>
            </w:pPr>
            <w:r>
              <w:rPr>
                <w:rFonts w:ascii="Consolas" w:hAnsi="Consolas"/>
                <w:sz w:val="17"/>
              </w:rPr>
              <w:t xml:space="preserve">                                       |        |</w:t>
            </w:r>
          </w:p>
          <w:p>
            <w:pPr>
              <w:spacing w:before="0" w:after="0" w:line="240" w:lineRule="auto"/>
            </w:pPr>
            <w:r>
              <w:rPr>
                <w:rFonts w:ascii="Consolas" w:hAnsi="Consolas"/>
                <w:sz w:val="17"/>
              </w:rPr>
              <w:t xml:space="preserve">                                       |        +--&gt; student or teacher browser (runs the page locally)</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(no arrow goes back to the publisher)</w:t>
            </w:r>
          </w:p>
        </w:tc>
      </w:tr>
    </w:tbl>
    <w:p>
      <w:pPr>
        <w:spacing w:before="0" w:after="0" w:line="160" w:lineRule="exact"/>
      </w:pPr>
      <w:r>
        <w:rPr>
          <w:sz w:val="2"/>
        </w:rPr>
      </w:r>
    </w:p>
    <w:p>
      <w:r>
        <w:rPr/>
        <w:t>The only outbound action in the model is the one-time download from the publisher's site, which is an ordinary web request that the downloader initiates. Nothing identifies a student, because students do not download.</w:t>
      </w:r>
    </w:p>
    <w:p>
      <w:pPr>
        <w:pStyle w:val="Heading2"/>
        <w:pBdr>
          <w:top w:val="single" w:sz="18" w:space="6" w:color="FF8A3D"/>
        </w:pBdr>
        <w:spacing w:before="320"/>
      </w:pPr>
      <w:r>
        <w:rPr/>
        <w:t>Component by component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10"/>
        <w:gridCol w:w="1421"/>
        <w:gridCol w:w="1489"/>
        <w:gridCol w:w="1786"/>
        <w:gridCol w:w="3485"/>
      </w:tblGrid>
      <w:tr>
        <w:trPr>
          <w:tblHeader/>
          <w:cantSplit/>
        </w:trPr>
        <w:tc>
          <w:tcPr>
            <w:tcW w:type="dxa" w:w="16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COMPONENT</w:t>
            </w:r>
          </w:p>
        </w:tc>
        <w:tc>
          <w:tcPr>
            <w:tcW w:type="dxa" w:w="14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IS</w:t>
            </w:r>
          </w:p>
        </w:tc>
        <w:tc>
          <w:tcPr>
            <w:tcW w:type="dxa" w:w="14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DATA SENT OUT</w:t>
            </w:r>
          </w:p>
        </w:tc>
        <w:tc>
          <w:tcPr>
            <w:tcW w:type="dxa" w:w="17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DATA STORED ON THE DEVICE</w:t>
            </w:r>
          </w:p>
        </w:tc>
        <w:tc>
          <w:tcPr>
            <w:tcW w:type="dxa" w:w="34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EVIDENCE</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sz w:val="19"/>
              </w:rPr>
              <w:t>PDF and Word files</w:t>
            </w:r>
          </w:p>
        </w:tc>
        <w:tc>
          <w:tcPr>
            <w:tcW w:type="dxa" w:w="1421"/>
            <w:tcMar>
              <w:top w:w="50" w:type="dxa"/>
              <w:left w:w="90" w:type="dxa"/>
              <w:bottom w:w="60" w:type="dxa"/>
              <w:right w:w="90" w:type="dxa"/>
            </w:tcMar>
          </w:tcPr>
          <w:p>
            <w:pPr>
              <w:spacing w:before="0" w:after="0" w:line="252" w:lineRule="auto"/>
            </w:pPr>
            <w:r>
              <w:rPr>
                <w:rFonts w:ascii="Calibri" w:hAnsi="Calibri"/>
                <w:sz w:val="19"/>
              </w:rPr>
              <w:t>Static documents</w:t>
            </w:r>
          </w:p>
        </w:tc>
        <w:tc>
          <w:tcPr>
            <w:tcW w:type="dxa" w:w="1489"/>
            <w:tcMar>
              <w:top w:w="50" w:type="dxa"/>
              <w:left w:w="90" w:type="dxa"/>
              <w:bottom w:w="60" w:type="dxa"/>
              <w:right w:w="90" w:type="dxa"/>
            </w:tcMar>
          </w:tcPr>
          <w:p>
            <w:pPr>
              <w:spacing w:before="0" w:after="0" w:line="252" w:lineRule="auto"/>
            </w:pPr>
            <w:r>
              <w:rPr>
                <w:rFonts w:ascii="Calibri" w:hAnsi="Calibri"/>
                <w:sz w:val="19"/>
              </w:rPr>
              <w:t>None</w:t>
            </w:r>
          </w:p>
        </w:tc>
        <w:tc>
          <w:tcPr>
            <w:tcW w:type="dxa" w:w="1786"/>
            <w:tcMar>
              <w:top w:w="50" w:type="dxa"/>
              <w:left w:w="90" w:type="dxa"/>
              <w:bottom w:w="60" w:type="dxa"/>
              <w:right w:w="90" w:type="dxa"/>
            </w:tcMar>
          </w:tcPr>
          <w:p>
            <w:pPr>
              <w:spacing w:before="0" w:after="0" w:line="252" w:lineRule="auto"/>
            </w:pPr>
            <w:r>
              <w:rPr>
                <w:rFonts w:ascii="Calibri" w:hAnsi="Calibri"/>
                <w:sz w:val="19"/>
              </w:rPr>
              <w:t>None</w:t>
            </w:r>
          </w:p>
        </w:tc>
        <w:tc>
          <w:tcPr>
            <w:tcW w:type="dxa" w:w="3485"/>
            <w:tcMar>
              <w:top w:w="50" w:type="dxa"/>
              <w:left w:w="90" w:type="dxa"/>
              <w:bottom w:w="60" w:type="dxa"/>
              <w:right w:w="90" w:type="dxa"/>
            </w:tcMar>
          </w:tcPr>
          <w:p>
            <w:pPr>
              <w:spacing w:before="0" w:after="0" w:line="252" w:lineRule="auto"/>
            </w:pPr>
            <w:r>
              <w:rPr>
                <w:rFonts w:ascii="Calibri" w:hAnsi="Calibri"/>
                <w:sz w:val="19"/>
              </w:rPr>
              <w:t>Built with ordinary document libraries that the maintainers did not configure to embed scripts or links that load on open. Not inspected file by file. Open a few offline to confirm. [VERIFY]</w:t>
            </w:r>
          </w:p>
        </w:tc>
      </w:tr>
      <w:tr>
        <w:trPr>
          <w:cantSplit/>
          <w:trHeight w:val="432"/>
        </w:trPr>
        <w:tc>
          <w:tcPr>
            <w:tcW w:type="dxa" w:w="1610"/>
            <w:tcMar>
              <w:top w:w="50" w:type="dxa"/>
              <w:left w:w="0" w:type="dxa"/>
              <w:bottom w:w="60" w:type="dxa"/>
              <w:right w:w="90" w:type="dxa"/>
            </w:tcMar>
          </w:tcPr>
          <w:p>
            <w:pPr>
              <w:spacing w:before="0" w:after="0" w:line="252" w:lineRule="auto"/>
            </w:pPr>
            <w:r>
              <w:rPr>
                <w:rFonts w:ascii="Calibri" w:hAnsi="Calibri"/>
                <w:sz w:val="19"/>
              </w:rPr>
              <w:t>Printed pages</w:t>
            </w:r>
          </w:p>
        </w:tc>
        <w:tc>
          <w:tcPr>
            <w:tcW w:type="dxa" w:w="1421"/>
            <w:tcMar>
              <w:top w:w="50" w:type="dxa"/>
              <w:left w:w="90" w:type="dxa"/>
              <w:bottom w:w="60" w:type="dxa"/>
              <w:right w:w="90" w:type="dxa"/>
            </w:tcMar>
          </w:tcPr>
          <w:p>
            <w:pPr>
              <w:spacing w:before="0" w:after="0" w:line="252" w:lineRule="auto"/>
            </w:pPr>
            <w:r>
              <w:rPr>
                <w:rFonts w:ascii="Calibri" w:hAnsi="Calibri"/>
                <w:sz w:val="19"/>
              </w:rPr>
              <w:t>Paper</w:t>
            </w:r>
          </w:p>
        </w:tc>
        <w:tc>
          <w:tcPr>
            <w:tcW w:type="dxa" w:w="1489"/>
            <w:tcMar>
              <w:top w:w="50" w:type="dxa"/>
              <w:left w:w="90" w:type="dxa"/>
              <w:bottom w:w="60" w:type="dxa"/>
              <w:right w:w="90" w:type="dxa"/>
            </w:tcMar>
          </w:tcPr>
          <w:p>
            <w:pPr>
              <w:spacing w:before="0" w:after="0" w:line="252" w:lineRule="auto"/>
            </w:pPr>
            <w:r>
              <w:rPr>
                <w:rFonts w:ascii="Calibri" w:hAnsi="Calibri"/>
                <w:sz w:val="19"/>
              </w:rPr>
              <w:t>None</w:t>
            </w:r>
          </w:p>
        </w:tc>
        <w:tc>
          <w:tcPr>
            <w:tcW w:type="dxa" w:w="1786"/>
            <w:tcMar>
              <w:top w:w="50" w:type="dxa"/>
              <w:left w:w="90" w:type="dxa"/>
              <w:bottom w:w="60" w:type="dxa"/>
              <w:right w:w="90" w:type="dxa"/>
            </w:tcMar>
          </w:tcPr>
          <w:p>
            <w:pPr>
              <w:spacing w:before="0" w:after="0" w:line="252" w:lineRule="auto"/>
            </w:pPr>
            <w:r>
              <w:rPr>
                <w:rFonts w:ascii="Calibri" w:hAnsi="Calibri"/>
                <w:sz w:val="19"/>
              </w:rPr>
              <w:t>None</w:t>
            </w:r>
          </w:p>
        </w:tc>
        <w:tc>
          <w:tcPr>
            <w:tcW w:type="dxa" w:w="3485"/>
            <w:tcMar>
              <w:top w:w="50" w:type="dxa"/>
              <w:left w:w="90" w:type="dxa"/>
              <w:bottom w:w="60" w:type="dxa"/>
              <w:right w:w="90" w:type="dxa"/>
            </w:tcMar>
          </w:tcPr>
          <w:p>
            <w:pPr>
              <w:spacing w:before="0" w:after="0" w:line="252" w:lineRule="auto"/>
            </w:pPr>
          </w:p>
        </w:tc>
      </w:tr>
      <w:tr>
        <w:trPr>
          <w:cantSplit/>
        </w:trPr>
        <w:tc>
          <w:tcPr>
            <w:tcW w:type="dxa" w:w="1610"/>
            <w:tcMar>
              <w:top w:w="50" w:type="dxa"/>
              <w:left w:w="0" w:type="dxa"/>
              <w:bottom w:w="60" w:type="dxa"/>
              <w:right w:w="90" w:type="dxa"/>
            </w:tcMar>
          </w:tcPr>
          <w:p>
            <w:pPr>
              <w:spacing w:before="0" w:after="0" w:line="252" w:lineRule="auto"/>
            </w:pPr>
            <w:r>
              <w:rPr>
                <w:rFonts w:ascii="Calibri" w:hAnsi="Calibri"/>
                <w:sz w:val="19"/>
              </w:rPr>
              <w:t>Static website (kit/17_Website)</w:t>
            </w:r>
          </w:p>
        </w:tc>
        <w:tc>
          <w:tcPr>
            <w:tcW w:type="dxa" w:w="1421"/>
            <w:tcMar>
              <w:top w:w="50" w:type="dxa"/>
              <w:left w:w="90" w:type="dxa"/>
              <w:bottom w:w="60" w:type="dxa"/>
              <w:right w:w="90" w:type="dxa"/>
            </w:tcMar>
          </w:tcPr>
          <w:p>
            <w:pPr>
              <w:spacing w:before="0" w:after="0" w:line="252" w:lineRule="auto"/>
            </w:pPr>
            <w:r>
              <w:rPr>
                <w:rFonts w:ascii="Calibri" w:hAnsi="Calibri"/>
                <w:sz w:val="19"/>
              </w:rPr>
              <w:t>Plain HTML and CSS, no JavaScript</w:t>
            </w:r>
          </w:p>
        </w:tc>
        <w:tc>
          <w:tcPr>
            <w:tcW w:type="dxa" w:w="1489"/>
            <w:tcMar>
              <w:top w:w="50" w:type="dxa"/>
              <w:left w:w="90" w:type="dxa"/>
              <w:bottom w:w="60" w:type="dxa"/>
              <w:right w:w="90" w:type="dxa"/>
            </w:tcMar>
          </w:tcPr>
          <w:p>
            <w:pPr>
              <w:spacing w:before="0" w:after="0" w:line="252" w:lineRule="auto"/>
            </w:pPr>
            <w:r>
              <w:rPr>
                <w:rFonts w:ascii="Calibri" w:hAnsi="Calibri"/>
                <w:sz w:val="19"/>
              </w:rPr>
              <w:t>None</w:t>
            </w:r>
          </w:p>
        </w:tc>
        <w:tc>
          <w:tcPr>
            <w:tcW w:type="dxa" w:w="1786"/>
            <w:tcMar>
              <w:top w:w="50" w:type="dxa"/>
              <w:left w:w="90" w:type="dxa"/>
              <w:bottom w:w="60" w:type="dxa"/>
              <w:right w:w="90" w:type="dxa"/>
            </w:tcMar>
          </w:tcPr>
          <w:p>
            <w:pPr>
              <w:spacing w:before="0" w:after="0" w:line="252" w:lineRule="auto"/>
            </w:pPr>
            <w:r>
              <w:rPr>
                <w:rFonts w:ascii="Calibri" w:hAnsi="Calibri"/>
                <w:sz w:val="19"/>
              </w:rPr>
              <w:t>None</w:t>
            </w:r>
          </w:p>
        </w:tc>
        <w:tc>
          <w:tcPr>
            <w:tcW w:type="dxa" w:w="3485"/>
            <w:tcMar>
              <w:top w:w="50" w:type="dxa"/>
              <w:left w:w="90" w:type="dxa"/>
              <w:bottom w:w="60" w:type="dxa"/>
              <w:right w:w="90" w:type="dxa"/>
            </w:tcMar>
          </w:tcPr>
          <w:p>
            <w:pPr>
              <w:spacing w:before="0" w:after="0" w:line="252" w:lineRule="auto"/>
            </w:pPr>
            <w:r>
              <w:rPr>
                <w:rFonts w:ascii="Consolas" w:hAnsi="Consolas"/>
                <w:color w:val="A8400A"/>
                <w:sz w:val="19"/>
              </w:rPr>
              <w:t>tools/check_site.py</w:t>
            </w:r>
            <w:r>
              <w:rPr>
                <w:rFonts w:ascii="Calibri" w:hAnsi="Calibri"/>
                <w:sz w:val="19"/>
              </w:rPr>
              <w:t xml:space="preserve"> fails on any script, form or iframe. Re-run by this pack's author 2026-10-05: PASS</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sz w:val="19"/>
              </w:rPr>
              <w:t>Reader (kit/27_Reader)</w:t>
            </w:r>
          </w:p>
        </w:tc>
        <w:tc>
          <w:tcPr>
            <w:tcW w:type="dxa" w:w="1421"/>
            <w:tcMar>
              <w:top w:w="50" w:type="dxa"/>
              <w:left w:w="90" w:type="dxa"/>
              <w:bottom w:w="60" w:type="dxa"/>
              <w:right w:w="90" w:type="dxa"/>
            </w:tcMar>
          </w:tcPr>
          <w:p>
            <w:pPr>
              <w:spacing w:before="0" w:after="0" w:line="252" w:lineRule="auto"/>
            </w:pPr>
            <w:r>
              <w:rPr>
                <w:rFonts w:ascii="Calibri" w:hAnsi="Calibri"/>
                <w:sz w:val="19"/>
              </w:rPr>
              <w:t>Static HTML with a small script for theme choice and local search</w:t>
            </w:r>
          </w:p>
        </w:tc>
        <w:tc>
          <w:tcPr>
            <w:tcW w:type="dxa" w:w="1489"/>
            <w:tcMar>
              <w:top w:w="50" w:type="dxa"/>
              <w:left w:w="90" w:type="dxa"/>
              <w:bottom w:w="60" w:type="dxa"/>
              <w:right w:w="90" w:type="dxa"/>
            </w:tcMar>
          </w:tcPr>
          <w:p>
            <w:pPr>
              <w:spacing w:before="0" w:after="0" w:line="252" w:lineRule="auto"/>
            </w:pPr>
            <w:r>
              <w:rPr>
                <w:rFonts w:ascii="Calibri" w:hAnsi="Calibri"/>
                <w:sz w:val="19"/>
              </w:rPr>
              <w:t>None</w:t>
            </w:r>
          </w:p>
        </w:tc>
        <w:tc>
          <w:tcPr>
            <w:tcW w:type="dxa" w:w="1786"/>
            <w:tcMar>
              <w:top w:w="50" w:type="dxa"/>
              <w:left w:w="90" w:type="dxa"/>
              <w:bottom w:w="60" w:type="dxa"/>
              <w:right w:w="90" w:type="dxa"/>
            </w:tcMar>
          </w:tcPr>
          <w:p>
            <w:pPr>
              <w:spacing w:before="0" w:after="0" w:line="252" w:lineRule="auto"/>
            </w:pPr>
            <w:r>
              <w:rPr>
                <w:rFonts w:ascii="Calibri" w:hAnsi="Calibri"/>
                <w:sz w:val="19"/>
              </w:rPr>
              <w:t xml:space="preserve">One setting named </w:t>
            </w:r>
            <w:r>
              <w:rPr>
                <w:rFonts w:ascii="Consolas" w:hAnsi="Consolas"/>
                <w:color w:val="A8400A"/>
                <w:sz w:val="19"/>
              </w:rPr>
              <w:t>hk-theme</w:t>
            </w:r>
            <w:r>
              <w:rPr>
                <w:rFonts w:ascii="Calibri" w:hAnsi="Calibri"/>
                <w:sz w:val="19"/>
              </w:rPr>
              <w:t xml:space="preserve"> in browser localStorage, only if the user chooses a theme. It holds a short theme word and never leaves the browser</w:t>
            </w:r>
          </w:p>
        </w:tc>
        <w:tc>
          <w:tcPr>
            <w:tcW w:type="dxa" w:w="3485"/>
            <w:tcMar>
              <w:top w:w="50" w:type="dxa"/>
              <w:left w:w="90" w:type="dxa"/>
              <w:bottom w:w="60" w:type="dxa"/>
              <w:right w:w="90" w:type="dxa"/>
            </w:tcMar>
          </w:tcPr>
          <w:p>
            <w:pPr>
              <w:spacing w:before="0" w:after="0" w:line="252" w:lineRule="auto"/>
            </w:pPr>
            <w:r>
              <w:rPr>
                <w:rFonts w:ascii="Consolas" w:hAnsi="Consolas"/>
                <w:color w:val="A8400A"/>
                <w:sz w:val="19"/>
              </w:rPr>
              <w:t>tools/check_reader.py</w:t>
            </w:r>
            <w:r>
              <w:rPr>
                <w:rFonts w:ascii="Calibri" w:hAnsi="Calibri"/>
                <w:sz w:val="19"/>
              </w:rPr>
              <w:t xml:space="preserve"> scans the Reader scripts for cookies, XMLHttpRequest, fetch, sendBeacon, WebSocket, indexedDB, sessionStorage and any http or https URL. Re-run 2026-10-05: all checks passed</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sz w:val="19"/>
              </w:rPr>
              <w:t>Lab (kit/26_Lab)</w:t>
            </w:r>
          </w:p>
        </w:tc>
        <w:tc>
          <w:tcPr>
            <w:tcW w:type="dxa" w:w="1421"/>
            <w:tcMar>
              <w:top w:w="50" w:type="dxa"/>
              <w:left w:w="90" w:type="dxa"/>
              <w:bottom w:w="60" w:type="dxa"/>
              <w:right w:w="90" w:type="dxa"/>
            </w:tcMar>
          </w:tcPr>
          <w:p>
            <w:pPr>
              <w:spacing w:before="0" w:after="0" w:line="252" w:lineRule="auto"/>
            </w:pPr>
            <w:r>
              <w:rPr>
                <w:rFonts w:ascii="Calibri" w:hAnsi="Calibri"/>
                <w:sz w:val="19"/>
              </w:rPr>
              <w:t>Six offline browser activities</w:t>
            </w:r>
          </w:p>
        </w:tc>
        <w:tc>
          <w:tcPr>
            <w:tcW w:type="dxa" w:w="1489"/>
            <w:tcMar>
              <w:top w:w="50" w:type="dxa"/>
              <w:left w:w="90" w:type="dxa"/>
              <w:bottom w:w="60" w:type="dxa"/>
              <w:right w:w="90" w:type="dxa"/>
            </w:tcMar>
          </w:tcPr>
          <w:p>
            <w:pPr>
              <w:spacing w:before="0" w:after="0" w:line="252" w:lineRule="auto"/>
            </w:pPr>
            <w:r>
              <w:rPr>
                <w:rFonts w:ascii="Calibri" w:hAnsi="Calibri"/>
                <w:sz w:val="19"/>
              </w:rPr>
              <w:t>None</w:t>
            </w:r>
          </w:p>
        </w:tc>
        <w:tc>
          <w:tcPr>
            <w:tcW w:type="dxa" w:w="1786"/>
            <w:tcMar>
              <w:top w:w="50" w:type="dxa"/>
              <w:left w:w="90" w:type="dxa"/>
              <w:bottom w:w="60" w:type="dxa"/>
              <w:right w:w="90" w:type="dxa"/>
            </w:tcMar>
          </w:tcPr>
          <w:p>
            <w:pPr>
              <w:spacing w:before="0" w:after="0" w:line="252" w:lineRule="auto"/>
            </w:pPr>
            <w:r>
              <w:rPr>
                <w:rFonts w:ascii="Calibri" w:hAnsi="Calibri"/>
                <w:sz w:val="19"/>
              </w:rPr>
              <w:t>The Lab's scripts, when searched for storage and network calls on 2026-10-05, showed no cookie, localStorage or network-call code. [VERIFY by running the Lab tests]</w:t>
            </w:r>
          </w:p>
        </w:tc>
        <w:tc>
          <w:tcPr>
            <w:tcW w:type="dxa" w:w="3485"/>
            <w:tcMar>
              <w:top w:w="50" w:type="dxa"/>
              <w:left w:w="90" w:type="dxa"/>
              <w:bottom w:w="60" w:type="dxa"/>
              <w:right w:w="90" w:type="dxa"/>
            </w:tcMar>
          </w:tcPr>
          <w:p>
            <w:pPr>
              <w:spacing w:before="0" w:after="0" w:line="252" w:lineRule="auto"/>
            </w:pPr>
            <w:r>
              <w:rPr>
                <w:rFonts w:ascii="Calibri" w:hAnsi="Calibri"/>
                <w:sz w:val="19"/>
              </w:rPr>
              <w:t>A scripted test (</w:t>
            </w:r>
            <w:r>
              <w:rPr>
                <w:rFonts w:ascii="Consolas" w:hAnsi="Consolas"/>
                <w:color w:val="A8400A"/>
                <w:sz w:val="19"/>
              </w:rPr>
              <w:t>kit/26_Lab/_tests/net_check.mjs</w:t>
            </w:r>
            <w:r>
              <w:rPr>
                <w:rFonts w:ascii="Calibri" w:hAnsi="Calibri"/>
                <w:sz w:val="19"/>
              </w:rPr>
              <w:t>) counts requests that leave the page's own folder; not re-run by this pack's author</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sz w:val="19"/>
              </w:rPr>
              <w:t>Slides (kit/25_Slides)</w:t>
            </w:r>
          </w:p>
        </w:tc>
        <w:tc>
          <w:tcPr>
            <w:tcW w:type="dxa" w:w="1421"/>
            <w:tcMar>
              <w:top w:w="50" w:type="dxa"/>
              <w:left w:w="90" w:type="dxa"/>
              <w:bottom w:w="60" w:type="dxa"/>
              <w:right w:w="90" w:type="dxa"/>
            </w:tcMar>
          </w:tcPr>
          <w:p>
            <w:pPr>
              <w:spacing w:before="0" w:after="0" w:line="252" w:lineRule="auto"/>
            </w:pPr>
            <w:r>
              <w:rPr>
                <w:rFonts w:ascii="Calibri" w:hAnsi="Calibri"/>
                <w:sz w:val="19"/>
              </w:rPr>
              <w:t>HTML decks and PowerPoint files</w:t>
            </w:r>
          </w:p>
        </w:tc>
        <w:tc>
          <w:tcPr>
            <w:tcW w:type="dxa" w:w="1489"/>
            <w:tcMar>
              <w:top w:w="50" w:type="dxa"/>
              <w:left w:w="90" w:type="dxa"/>
              <w:bottom w:w="60" w:type="dxa"/>
              <w:right w:w="90" w:type="dxa"/>
            </w:tcMar>
          </w:tcPr>
          <w:p>
            <w:pPr>
              <w:spacing w:before="0" w:after="0" w:line="252" w:lineRule="auto"/>
            </w:pPr>
            <w:r>
              <w:rPr>
                <w:rFonts w:ascii="Calibri" w:hAnsi="Calibri"/>
                <w:sz w:val="19"/>
              </w:rPr>
              <w:t>None from the HTML decks. PPTX behavior depends on your presentation software</w:t>
            </w:r>
          </w:p>
        </w:tc>
        <w:tc>
          <w:tcPr>
            <w:tcW w:type="dxa" w:w="1786"/>
            <w:tcMar>
              <w:top w:w="50" w:type="dxa"/>
              <w:left w:w="90" w:type="dxa"/>
              <w:bottom w:w="60" w:type="dxa"/>
              <w:right w:w="90" w:type="dxa"/>
            </w:tcMar>
          </w:tcPr>
          <w:p>
            <w:pPr>
              <w:spacing w:before="0" w:after="0" w:line="252" w:lineRule="auto"/>
            </w:pPr>
            <w:r>
              <w:rPr>
                <w:rFonts w:ascii="Calibri" w:hAnsi="Calibri"/>
                <w:sz w:val="19"/>
              </w:rPr>
              <w:t>None</w:t>
            </w:r>
          </w:p>
        </w:tc>
        <w:tc>
          <w:tcPr>
            <w:tcW w:type="dxa" w:w="3485"/>
            <w:tcMar>
              <w:top w:w="50" w:type="dxa"/>
              <w:left w:w="90" w:type="dxa"/>
              <w:bottom w:w="60" w:type="dxa"/>
              <w:right w:w="90" w:type="dxa"/>
            </w:tcMar>
          </w:tcPr>
          <w:p>
            <w:pPr>
              <w:spacing w:before="0" w:after="0" w:line="252" w:lineRule="auto"/>
            </w:pPr>
            <w:r>
              <w:rPr>
                <w:rFonts w:ascii="Calibri" w:hAnsi="Calibri"/>
                <w:sz w:val="19"/>
              </w:rPr>
              <w:t>The HTML decks' script states "No network, no storage, no tracking." A search of the HTML decks on 2026-10-05 found no storage or network-call code. Not independently tested in a browser by this pack's author</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sz w:val="19"/>
              </w:rPr>
              <w:t>Paper surveys (optional)</w:t>
            </w:r>
          </w:p>
        </w:tc>
        <w:tc>
          <w:tcPr>
            <w:tcW w:type="dxa" w:w="1421"/>
            <w:tcMar>
              <w:top w:w="50" w:type="dxa"/>
              <w:left w:w="90" w:type="dxa"/>
              <w:bottom w:w="60" w:type="dxa"/>
              <w:right w:w="90" w:type="dxa"/>
            </w:tcMar>
          </w:tcPr>
          <w:p>
            <w:pPr>
              <w:spacing w:before="0" w:after="0" w:line="252" w:lineRule="auto"/>
            </w:pPr>
            <w:r>
              <w:rPr>
                <w:rFonts w:ascii="Calibri" w:hAnsi="Calibri"/>
                <w:sz w:val="19"/>
              </w:rPr>
              <w:t>Assessment Pack forms</w:t>
            </w:r>
          </w:p>
        </w:tc>
        <w:tc>
          <w:tcPr>
            <w:tcW w:type="dxa" w:w="1489"/>
            <w:tcMar>
              <w:top w:w="50" w:type="dxa"/>
              <w:left w:w="90" w:type="dxa"/>
              <w:bottom w:w="60" w:type="dxa"/>
              <w:right w:w="90" w:type="dxa"/>
            </w:tcMar>
          </w:tcPr>
          <w:p>
            <w:pPr>
              <w:spacing w:before="0" w:after="0" w:line="252" w:lineRule="auto"/>
            </w:pPr>
            <w:r>
              <w:rPr>
                <w:rFonts w:ascii="Calibri" w:hAnsi="Calibri"/>
                <w:sz w:val="19"/>
              </w:rPr>
              <w:t>None to the publisher</w:t>
            </w:r>
          </w:p>
        </w:tc>
        <w:tc>
          <w:tcPr>
            <w:tcW w:type="dxa" w:w="1786"/>
            <w:tcMar>
              <w:top w:w="50" w:type="dxa"/>
              <w:left w:w="90" w:type="dxa"/>
              <w:bottom w:w="60" w:type="dxa"/>
              <w:right w:w="90" w:type="dxa"/>
            </w:tcMar>
          </w:tcPr>
          <w:p>
            <w:pPr>
              <w:spacing w:before="0" w:after="0" w:line="252" w:lineRule="auto"/>
            </w:pPr>
            <w:r>
              <w:rPr>
                <w:rFonts w:ascii="Calibri" w:hAnsi="Calibri"/>
                <w:sz w:val="19"/>
              </w:rPr>
              <w:t>Paper kept by the school</w:t>
            </w:r>
          </w:p>
        </w:tc>
        <w:tc>
          <w:tcPr>
            <w:tcW w:type="dxa" w:w="3485"/>
            <w:tcMar>
              <w:top w:w="50" w:type="dxa"/>
              <w:left w:w="90" w:type="dxa"/>
              <w:bottom w:w="60" w:type="dxa"/>
              <w:right w:w="90" w:type="dxa"/>
            </w:tcMar>
          </w:tcPr>
          <w:p>
            <w:pPr>
              <w:spacing w:before="0" w:after="0" w:line="252" w:lineRule="auto"/>
            </w:pPr>
            <w:r>
              <w:rPr>
                <w:rFonts w:ascii="Calibri" w:hAnsi="Calibri"/>
                <w:sz w:val="19"/>
              </w:rPr>
              <w:t>School chooses to use them and decides retention. Counsel to review [COUNSEL TO CONFIRM]</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sz w:val="19"/>
              </w:rPr>
              <w:t>Implementation Tracker</w:t>
            </w:r>
          </w:p>
        </w:tc>
        <w:tc>
          <w:tcPr>
            <w:tcW w:type="dxa" w:w="1421"/>
            <w:tcMar>
              <w:top w:w="50" w:type="dxa"/>
              <w:left w:w="90" w:type="dxa"/>
              <w:bottom w:w="60" w:type="dxa"/>
              <w:right w:w="90" w:type="dxa"/>
            </w:tcMar>
          </w:tcPr>
          <w:p>
            <w:pPr>
              <w:spacing w:before="0" w:after="0" w:line="252" w:lineRule="auto"/>
            </w:pPr>
            <w:r>
              <w:rPr>
                <w:rFonts w:ascii="Calibri" w:hAnsi="Calibri"/>
                <w:sz w:val="19"/>
              </w:rPr>
              <w:t>Excel workbook</w:t>
            </w:r>
          </w:p>
        </w:tc>
        <w:tc>
          <w:tcPr>
            <w:tcW w:type="dxa" w:w="1489"/>
            <w:tcMar>
              <w:top w:w="50" w:type="dxa"/>
              <w:left w:w="90" w:type="dxa"/>
              <w:bottom w:w="60" w:type="dxa"/>
              <w:right w:w="90" w:type="dxa"/>
            </w:tcMar>
          </w:tcPr>
          <w:p>
            <w:pPr>
              <w:spacing w:before="0" w:after="0" w:line="252" w:lineRule="auto"/>
            </w:pPr>
            <w:r>
              <w:rPr>
                <w:rFonts w:ascii="Calibri" w:hAnsi="Calibri"/>
                <w:sz w:val="19"/>
              </w:rPr>
              <w:t>None</w:t>
            </w:r>
          </w:p>
        </w:tc>
        <w:tc>
          <w:tcPr>
            <w:tcW w:type="dxa" w:w="1786"/>
            <w:tcMar>
              <w:top w:w="50" w:type="dxa"/>
              <w:left w:w="90" w:type="dxa"/>
              <w:bottom w:w="60" w:type="dxa"/>
              <w:right w:w="90" w:type="dxa"/>
            </w:tcMar>
          </w:tcPr>
          <w:p>
            <w:pPr>
              <w:spacing w:before="0" w:after="0" w:line="252" w:lineRule="auto"/>
            </w:pPr>
            <w:r>
              <w:rPr>
                <w:rFonts w:ascii="Calibri" w:hAnsi="Calibri"/>
                <w:sz w:val="19"/>
              </w:rPr>
              <w:t>Class-level counts only, on your drive</w:t>
            </w:r>
          </w:p>
        </w:tc>
        <w:tc>
          <w:tcPr>
            <w:tcW w:type="dxa" w:w="3485"/>
            <w:tcMar>
              <w:top w:w="50" w:type="dxa"/>
              <w:left w:w="90" w:type="dxa"/>
              <w:bottom w:w="60" w:type="dxa"/>
              <w:right w:w="90" w:type="dxa"/>
            </w:tcMar>
          </w:tcPr>
          <w:p>
            <w:pPr>
              <w:spacing w:before="0" w:after="0" w:line="252" w:lineRule="auto"/>
            </w:pPr>
            <w:r>
              <w:rPr>
                <w:rFonts w:ascii="Calibri" w:hAnsi="Calibri"/>
                <w:sz w:val="19"/>
              </w:rPr>
              <w:t>The workbook has no field for a name or ID. Excel's own cloud features, if you save to OneDrive or SharePoint, are governed by your Microsoft agreement</w:t>
            </w:r>
          </w:p>
        </w:tc>
      </w:tr>
    </w:tbl>
    <w:p>
      <w:pPr>
        <w:spacing w:before="0" w:after="0" w:line="160" w:lineRule="exact"/>
      </w:pPr>
      <w:r>
        <w:rPr>
          <w:sz w:val="2"/>
        </w:rPr>
      </w:r>
    </w:p>
    <w:p>
      <w:pPr>
        <w:pStyle w:val="Heading2"/>
        <w:pBdr>
          <w:top w:val="single" w:sz="18" w:space="6" w:color="FF8A3D"/>
        </w:pBdr>
        <w:spacing w:before="320"/>
      </w:pPr>
      <w:r>
        <w:rPr/>
        <w:t>Things that could add data flows (check these on your side)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985"/>
        <w:gridCol w:w="1998"/>
        <w:gridCol w:w="4809"/>
      </w:tblGrid>
      <w:tr>
        <w:trPr>
          <w:tblHeader/>
          <w:cantSplit/>
        </w:trPr>
        <w:tc>
          <w:tcPr>
            <w:tcW w:type="dxa" w:w="298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ADD-ON</w:t>
            </w:r>
          </w:p>
        </w:tc>
        <w:tc>
          <w:tcPr>
            <w:tcW w:type="dxa" w:w="19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POSSIBLE FLOW</w:t>
            </w:r>
          </w:p>
        </w:tc>
        <w:tc>
          <w:tcPr>
            <w:tcW w:type="dxa" w:w="48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2985"/>
            <w:tcMar>
              <w:top w:w="50" w:type="dxa"/>
              <w:left w:w="0" w:type="dxa"/>
              <w:bottom w:w="60" w:type="dxa"/>
              <w:right w:w="90" w:type="dxa"/>
            </w:tcMar>
          </w:tcPr>
          <w:p>
            <w:pPr>
              <w:spacing w:before="0" w:after="0" w:line="252" w:lineRule="auto"/>
            </w:pPr>
            <w:r>
              <w:rPr>
                <w:rFonts w:ascii="Calibri" w:hAnsi="Calibri"/>
                <w:sz w:val="19"/>
              </w:rPr>
              <w:t>School web server or CDN</w:t>
            </w:r>
          </w:p>
        </w:tc>
        <w:tc>
          <w:tcPr>
            <w:tcW w:type="dxa" w:w="1998"/>
            <w:tcMar>
              <w:top w:w="50" w:type="dxa"/>
              <w:left w:w="90" w:type="dxa"/>
              <w:bottom w:w="60" w:type="dxa"/>
              <w:right w:w="90" w:type="dxa"/>
            </w:tcMar>
          </w:tcPr>
          <w:p>
            <w:pPr>
              <w:spacing w:before="0" w:after="0" w:line="252" w:lineRule="auto"/>
            </w:pPr>
            <w:r>
              <w:rPr>
                <w:rFonts w:ascii="Calibri" w:hAnsi="Calibri"/>
                <w:sz w:val="19"/>
              </w:rPr>
              <w:t>Request logs with IP addresses</w:t>
            </w:r>
          </w:p>
        </w:tc>
        <w:tc>
          <w:tcPr>
            <w:tcW w:type="dxa" w:w="4809"/>
            <w:tcMar>
              <w:top w:w="50" w:type="dxa"/>
              <w:left w:w="90" w:type="dxa"/>
              <w:bottom w:w="60" w:type="dxa"/>
              <w:right w:w="90" w:type="dxa"/>
            </w:tcMar>
          </w:tcPr>
          <w:p>
            <w:pPr>
              <w:spacing w:before="0" w:after="0" w:line="252" w:lineRule="auto"/>
            </w:pPr>
            <w:r>
              <w:rPr>
                <w:rFonts w:ascii="Calibri" w:hAnsi="Calibri"/>
                <w:sz w:val="19"/>
              </w:rPr>
              <w:t>Apply your normal log retention. The Reader and Lab work without any server, so you can use a local folder or a shared drive</w:t>
            </w:r>
          </w:p>
        </w:tc>
      </w:tr>
      <w:tr>
        <w:trPr>
          <w:cantSplit/>
        </w:trPr>
        <w:tc>
          <w:tcPr>
            <w:tcW w:type="dxa" w:w="2985"/>
            <w:tcMar>
              <w:top w:w="50" w:type="dxa"/>
              <w:left w:w="0" w:type="dxa"/>
              <w:bottom w:w="60" w:type="dxa"/>
              <w:right w:w="90" w:type="dxa"/>
            </w:tcMar>
          </w:tcPr>
          <w:p>
            <w:pPr>
              <w:spacing w:before="0" w:after="0" w:line="252" w:lineRule="auto"/>
            </w:pPr>
            <w:r>
              <w:rPr>
                <w:rFonts w:ascii="Calibri" w:hAnsi="Calibri"/>
                <w:sz w:val="19"/>
              </w:rPr>
              <w:t>LMS with usage analytics</w:t>
            </w:r>
          </w:p>
        </w:tc>
        <w:tc>
          <w:tcPr>
            <w:tcW w:type="dxa" w:w="1998"/>
            <w:tcMar>
              <w:top w:w="50" w:type="dxa"/>
              <w:left w:w="90" w:type="dxa"/>
              <w:bottom w:w="60" w:type="dxa"/>
              <w:right w:w="90" w:type="dxa"/>
            </w:tcMar>
          </w:tcPr>
          <w:p>
            <w:pPr>
              <w:spacing w:before="0" w:after="0" w:line="252" w:lineRule="auto"/>
            </w:pPr>
            <w:r>
              <w:rPr>
                <w:rFonts w:ascii="Calibri" w:hAnsi="Calibri"/>
                <w:sz w:val="19"/>
              </w:rPr>
              <w:t>View counts, user ids</w:t>
            </w:r>
          </w:p>
        </w:tc>
        <w:tc>
          <w:tcPr>
            <w:tcW w:type="dxa" w:w="4809"/>
            <w:tcMar>
              <w:top w:w="50" w:type="dxa"/>
              <w:left w:w="90" w:type="dxa"/>
              <w:bottom w:w="60" w:type="dxa"/>
              <w:right w:w="90" w:type="dxa"/>
            </w:tcMar>
          </w:tcPr>
          <w:p>
            <w:pPr>
              <w:spacing w:before="0" w:after="0" w:line="252" w:lineRule="auto"/>
            </w:pPr>
            <w:r>
              <w:rPr>
                <w:rFonts w:ascii="Calibri" w:hAnsi="Calibri"/>
                <w:sz w:val="19"/>
              </w:rPr>
              <w:t>Link to the static pages or upload files; turn off per-student tracking for these items if your policy requires</w:t>
            </w:r>
          </w:p>
        </w:tc>
      </w:tr>
      <w:tr>
        <w:trPr>
          <w:cantSplit/>
        </w:trPr>
        <w:tc>
          <w:tcPr>
            <w:tcW w:type="dxa" w:w="2985"/>
            <w:tcMar>
              <w:top w:w="50" w:type="dxa"/>
              <w:left w:w="0" w:type="dxa"/>
              <w:bottom w:w="60" w:type="dxa"/>
              <w:right w:w="90" w:type="dxa"/>
            </w:tcMar>
          </w:tcPr>
          <w:p>
            <w:pPr>
              <w:spacing w:before="0" w:after="0" w:line="252" w:lineRule="auto"/>
            </w:pPr>
            <w:r>
              <w:rPr>
                <w:rFonts w:ascii="Calibri" w:hAnsi="Calibri"/>
                <w:sz w:val="19"/>
              </w:rPr>
              <w:t>Google Drive or other cloud sharing</w:t>
            </w:r>
          </w:p>
        </w:tc>
        <w:tc>
          <w:tcPr>
            <w:tcW w:type="dxa" w:w="1998"/>
            <w:tcMar>
              <w:top w:w="50" w:type="dxa"/>
              <w:left w:w="90" w:type="dxa"/>
              <w:bottom w:w="60" w:type="dxa"/>
              <w:right w:w="90" w:type="dxa"/>
            </w:tcMar>
          </w:tcPr>
          <w:p>
            <w:pPr>
              <w:spacing w:before="0" w:after="0" w:line="252" w:lineRule="auto"/>
            </w:pPr>
            <w:r>
              <w:rPr>
                <w:rFonts w:ascii="Calibri" w:hAnsi="Calibri"/>
                <w:sz w:val="19"/>
              </w:rPr>
              <w:t>Sharing logs, viewer identity</w:t>
            </w:r>
          </w:p>
        </w:tc>
        <w:tc>
          <w:tcPr>
            <w:tcW w:type="dxa" w:w="4809"/>
            <w:tcMar>
              <w:top w:w="50" w:type="dxa"/>
              <w:left w:w="90" w:type="dxa"/>
              <w:bottom w:w="60" w:type="dxa"/>
              <w:right w:w="90" w:type="dxa"/>
            </w:tcMar>
          </w:tcPr>
          <w:p>
            <w:pPr>
              <w:spacing w:before="0" w:after="0" w:line="252" w:lineRule="auto"/>
            </w:pPr>
            <w:r>
              <w:rPr>
                <w:rFonts w:ascii="Calibri" w:hAnsi="Calibri"/>
                <w:sz w:val="19"/>
              </w:rPr>
              <w:t>Use a district-managed account, restrict sharing to your domain if appropriate</w:t>
            </w:r>
          </w:p>
        </w:tc>
      </w:tr>
      <w:tr>
        <w:trPr>
          <w:cantSplit/>
        </w:trPr>
        <w:tc>
          <w:tcPr>
            <w:tcW w:type="dxa" w:w="2985"/>
            <w:tcMar>
              <w:top w:w="50" w:type="dxa"/>
              <w:left w:w="0" w:type="dxa"/>
              <w:bottom w:w="60" w:type="dxa"/>
              <w:right w:w="90" w:type="dxa"/>
            </w:tcMar>
          </w:tcPr>
          <w:p>
            <w:pPr>
              <w:spacing w:before="0" w:after="0" w:line="252" w:lineRule="auto"/>
            </w:pPr>
            <w:r>
              <w:rPr>
                <w:rFonts w:ascii="Calibri" w:hAnsi="Calibri"/>
                <w:sz w:val="19"/>
              </w:rPr>
              <w:t>Browser extensions or filters</w:t>
            </w:r>
          </w:p>
        </w:tc>
        <w:tc>
          <w:tcPr>
            <w:tcW w:type="dxa" w:w="1998"/>
            <w:tcMar>
              <w:top w:w="50" w:type="dxa"/>
              <w:left w:w="90" w:type="dxa"/>
              <w:bottom w:w="60" w:type="dxa"/>
              <w:right w:w="90" w:type="dxa"/>
            </w:tcMar>
          </w:tcPr>
          <w:p>
            <w:pPr>
              <w:spacing w:before="0" w:after="0" w:line="252" w:lineRule="auto"/>
            </w:pPr>
            <w:r>
              <w:rPr>
                <w:rFonts w:ascii="Calibri" w:hAnsi="Calibri"/>
                <w:sz w:val="19"/>
              </w:rPr>
              <w:t>They may log pages visited</w:t>
            </w:r>
          </w:p>
        </w:tc>
        <w:tc>
          <w:tcPr>
            <w:tcW w:type="dxa" w:w="4809"/>
            <w:tcMar>
              <w:top w:w="50" w:type="dxa"/>
              <w:left w:w="90" w:type="dxa"/>
              <w:bottom w:w="60" w:type="dxa"/>
              <w:right w:w="90" w:type="dxa"/>
            </w:tcMar>
          </w:tcPr>
          <w:p>
            <w:pPr>
              <w:spacing w:before="0" w:after="0" w:line="252" w:lineRule="auto"/>
            </w:pPr>
            <w:r>
              <w:rPr>
                <w:rFonts w:ascii="Calibri" w:hAnsi="Calibri"/>
                <w:sz w:val="19"/>
              </w:rPr>
              <w:t>Not controlled by the kit</w:t>
            </w:r>
          </w:p>
        </w:tc>
      </w:tr>
      <w:tr>
        <w:trPr>
          <w:cantSplit/>
        </w:trPr>
        <w:tc>
          <w:tcPr>
            <w:tcW w:type="dxa" w:w="2985"/>
            <w:tcMar>
              <w:top w:w="50" w:type="dxa"/>
              <w:left w:w="0" w:type="dxa"/>
              <w:bottom w:w="60" w:type="dxa"/>
              <w:right w:w="90" w:type="dxa"/>
            </w:tcMar>
          </w:tcPr>
          <w:p>
            <w:pPr>
              <w:spacing w:before="0" w:after="0" w:line="252" w:lineRule="auto"/>
            </w:pPr>
            <w:r>
              <w:rPr>
                <w:rFonts w:ascii="Calibri" w:hAnsi="Calibri"/>
                <w:sz w:val="19"/>
              </w:rPr>
              <w:t>Optional Google Fonts link (described in the website README)</w:t>
            </w:r>
          </w:p>
        </w:tc>
        <w:tc>
          <w:tcPr>
            <w:tcW w:type="dxa" w:w="1998"/>
            <w:tcMar>
              <w:top w:w="50" w:type="dxa"/>
              <w:left w:w="90" w:type="dxa"/>
              <w:bottom w:w="60" w:type="dxa"/>
              <w:right w:w="90" w:type="dxa"/>
            </w:tcMar>
          </w:tcPr>
          <w:p>
            <w:pPr>
              <w:spacing w:before="0" w:after="0" w:line="252" w:lineRule="auto"/>
            </w:pPr>
            <w:r>
              <w:rPr>
                <w:rFonts w:ascii="Calibri" w:hAnsi="Calibri"/>
                <w:sz w:val="19"/>
              </w:rPr>
              <w:t>Visitor IP sent to Google</w:t>
            </w:r>
          </w:p>
        </w:tc>
        <w:tc>
          <w:tcPr>
            <w:tcW w:type="dxa" w:w="4809"/>
            <w:tcMar>
              <w:top w:w="50" w:type="dxa"/>
              <w:left w:w="90" w:type="dxa"/>
              <w:bottom w:w="60" w:type="dxa"/>
              <w:right w:w="90" w:type="dxa"/>
            </w:tcMar>
          </w:tcPr>
          <w:p>
            <w:pPr>
              <w:spacing w:before="0" w:after="0" w:line="252" w:lineRule="auto"/>
            </w:pPr>
            <w:r>
              <w:rPr>
                <w:rFonts w:ascii="Calibri" w:hAnsi="Calibri"/>
                <w:sz w:val="19"/>
              </w:rPr>
              <w:t>Off by default. Do not enable it</w:t>
            </w:r>
          </w:p>
        </w:tc>
      </w:tr>
      <w:tr>
        <w:trPr>
          <w:cantSplit/>
        </w:trPr>
        <w:tc>
          <w:tcPr>
            <w:tcW w:type="dxa" w:w="2985"/>
            <w:tcMar>
              <w:top w:w="50" w:type="dxa"/>
              <w:left w:w="0" w:type="dxa"/>
              <w:bottom w:w="60" w:type="dxa"/>
              <w:right w:w="90" w:type="dxa"/>
            </w:tcMar>
          </w:tcPr>
          <w:p>
            <w:pPr>
              <w:spacing w:before="0" w:after="0" w:line="252" w:lineRule="auto"/>
            </w:pPr>
            <w:r>
              <w:rPr>
                <w:rFonts w:ascii="Calibri" w:hAnsi="Calibri"/>
                <w:sz w:val="19"/>
              </w:rPr>
              <w:t>Photographs, work samples, student quotes at Hackles Day</w:t>
            </w:r>
          </w:p>
        </w:tc>
        <w:tc>
          <w:tcPr>
            <w:tcW w:type="dxa" w:w="1998"/>
            <w:tcMar>
              <w:top w:w="50" w:type="dxa"/>
              <w:left w:w="90" w:type="dxa"/>
              <w:bottom w:w="60" w:type="dxa"/>
              <w:right w:w="90" w:type="dxa"/>
            </w:tcMar>
          </w:tcPr>
          <w:p>
            <w:pPr>
              <w:spacing w:before="0" w:after="0" w:line="252" w:lineRule="auto"/>
            </w:pPr>
            <w:r>
              <w:rPr>
                <w:rFonts w:ascii="Calibri" w:hAnsi="Calibri"/>
                <w:sz w:val="19"/>
              </w:rPr>
              <w:t>Personal data</w:t>
            </w:r>
          </w:p>
        </w:tc>
        <w:tc>
          <w:tcPr>
            <w:tcW w:type="dxa" w:w="4809"/>
            <w:tcMar>
              <w:top w:w="50" w:type="dxa"/>
              <w:left w:w="90" w:type="dxa"/>
              <w:bottom w:w="60" w:type="dxa"/>
              <w:right w:w="90" w:type="dxa"/>
            </w:tcMar>
          </w:tcPr>
          <w:p>
            <w:pPr>
              <w:spacing w:before="0" w:after="0" w:line="252" w:lineRule="auto"/>
            </w:pPr>
            <w:r>
              <w:rPr>
                <w:rFonts w:ascii="Calibri" w:hAnsi="Calibri"/>
                <w:sz w:val="19"/>
              </w:rPr>
              <w:t>The kit's default is no photos in promotion. Follow your photo-consent policy</w:t>
            </w:r>
          </w:p>
        </w:tc>
      </w:tr>
      <w:tr>
        <w:trPr>
          <w:cantSplit/>
        </w:trPr>
        <w:tc>
          <w:tcPr>
            <w:tcW w:type="dxa" w:w="2985"/>
            <w:tcMar>
              <w:top w:w="50" w:type="dxa"/>
              <w:left w:w="0" w:type="dxa"/>
              <w:bottom w:w="60" w:type="dxa"/>
              <w:right w:w="90" w:type="dxa"/>
            </w:tcMar>
          </w:tcPr>
          <w:p>
            <w:pPr>
              <w:spacing w:before="0" w:after="0" w:line="252" w:lineRule="auto"/>
            </w:pPr>
            <w:r>
              <w:rPr>
                <w:rFonts w:ascii="Calibri" w:hAnsi="Calibri"/>
                <w:sz w:val="19"/>
              </w:rPr>
              <w:t>Disclosures made by students</w:t>
            </w:r>
          </w:p>
        </w:tc>
        <w:tc>
          <w:tcPr>
            <w:tcW w:type="dxa" w:w="1998"/>
            <w:tcMar>
              <w:top w:w="50" w:type="dxa"/>
              <w:left w:w="90" w:type="dxa"/>
              <w:bottom w:w="60" w:type="dxa"/>
              <w:right w:w="90" w:type="dxa"/>
            </w:tcMar>
          </w:tcPr>
          <w:p>
            <w:pPr>
              <w:spacing w:before="0" w:after="0" w:line="252" w:lineRule="auto"/>
            </w:pPr>
            <w:r>
              <w:rPr>
                <w:rFonts w:ascii="Calibri" w:hAnsi="Calibri"/>
                <w:sz w:val="19"/>
              </w:rPr>
              <w:t>Personal information about a child</w:t>
            </w:r>
          </w:p>
        </w:tc>
        <w:tc>
          <w:tcPr>
            <w:tcW w:type="dxa" w:w="4809"/>
            <w:tcMar>
              <w:top w:w="50" w:type="dxa"/>
              <w:left w:w="90" w:type="dxa"/>
              <w:bottom w:w="60" w:type="dxa"/>
              <w:right w:w="90" w:type="dxa"/>
            </w:tcMar>
          </w:tcPr>
          <w:p>
            <w:pPr>
              <w:spacing w:before="0" w:after="0" w:line="252" w:lineRule="auto"/>
            </w:pPr>
            <w:r>
              <w:rPr>
                <w:rFonts w:ascii="Calibri" w:hAnsi="Calibri"/>
                <w:sz w:val="19"/>
              </w:rPr>
              <w:t>Handled under your reporting policy and law, never sent to the publisher</w:t>
            </w:r>
          </w:p>
        </w:tc>
      </w:tr>
    </w:tbl>
    <w:p>
      <w:pPr>
        <w:spacing w:before="0" w:after="0" w:line="160" w:lineRule="exact"/>
      </w:pPr>
      <w:r>
        <w:rPr>
          <w:sz w:val="2"/>
        </w:rPr>
      </w:r>
    </w:p>
    <w:p>
      <w:pPr>
        <w:pStyle w:val="Heading2"/>
        <w:pBdr>
          <w:top w:val="single" w:sz="18" w:space="6" w:color="FF8A3D"/>
        </w:pBdr>
        <w:spacing w:before="320"/>
      </w:pPr>
      <w:r>
        <w:rPr/>
        <w:t>Publisher-side data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42"/>
        <w:gridCol w:w="6750"/>
      </w:tblGrid>
      <w:tr>
        <w:trPr>
          <w:tblHeader/>
          <w:cantSplit/>
        </w:trPr>
        <w:tc>
          <w:tcPr>
            <w:tcW w:type="dxa" w:w="304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67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STATEMENT</w:t>
            </w: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Student data</w:t>
            </w:r>
          </w:p>
        </w:tc>
        <w:tc>
          <w:tcPr>
            <w:tcW w:type="dxa" w:w="6750"/>
            <w:tcMar>
              <w:top w:w="50" w:type="dxa"/>
              <w:left w:w="90" w:type="dxa"/>
              <w:bottom w:w="60" w:type="dxa"/>
              <w:right w:w="90" w:type="dxa"/>
            </w:tcMar>
          </w:tcPr>
          <w:p>
            <w:pPr>
              <w:spacing w:before="0" w:after="0" w:line="252" w:lineRule="auto"/>
            </w:pPr>
            <w:r>
              <w:rPr>
                <w:rFonts w:ascii="Calibri" w:hAnsi="Calibri"/>
                <w:sz w:val="19"/>
              </w:rPr>
              <w:t>Not received, not requested, not stored</w:t>
            </w: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Teacher and parent data</w:t>
            </w:r>
          </w:p>
        </w:tc>
        <w:tc>
          <w:tcPr>
            <w:tcW w:type="dxa" w:w="6750"/>
            <w:tcMar>
              <w:top w:w="50" w:type="dxa"/>
              <w:left w:w="90" w:type="dxa"/>
              <w:bottom w:w="60" w:type="dxa"/>
              <w:right w:w="90" w:type="dxa"/>
            </w:tcMar>
          </w:tcPr>
          <w:p>
            <w:pPr>
              <w:spacing w:before="0" w:after="0" w:line="252" w:lineRule="auto"/>
            </w:pPr>
            <w:r>
              <w:rPr>
                <w:rFonts w:ascii="Calibri" w:hAnsi="Calibri"/>
                <w:sz w:val="19"/>
              </w:rPr>
              <w:t>None through the kit. The publisher's website may offer an optional adult newsletter or feedback form. If it does, that form must carry its own privacy notice and the warning "do not include student names or identifying details." [VERIFY current site]</w:t>
            </w: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If identifiable information arrives by mistake (for example in a feedback email)</w:t>
            </w:r>
          </w:p>
        </w:tc>
        <w:tc>
          <w:tcPr>
            <w:tcW w:type="dxa" w:w="6750"/>
            <w:tcMar>
              <w:top w:w="50" w:type="dxa"/>
              <w:left w:w="90" w:type="dxa"/>
              <w:bottom w:w="60" w:type="dxa"/>
              <w:right w:w="90" w:type="dxa"/>
            </w:tcMar>
          </w:tcPr>
          <w:p>
            <w:pPr>
              <w:spacing w:before="0" w:after="0" w:line="252" w:lineRule="auto"/>
            </w:pPr>
            <w:r>
              <w:rPr>
                <w:rFonts w:ascii="Calibri" w:hAnsi="Calibri"/>
                <w:sz w:val="19"/>
              </w:rPr>
              <w:t>The stated plan is to delete it and direct the sender to the school's reporting protocol. Counsel to advise on any duty. [COUNSEL TO CONFIRM]</w:t>
            </w: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Download counts</w:t>
            </w:r>
          </w:p>
        </w:tc>
        <w:tc>
          <w:tcPr>
            <w:tcW w:type="dxa" w:w="6750"/>
            <w:tcMar>
              <w:top w:w="50" w:type="dxa"/>
              <w:left w:w="90" w:type="dxa"/>
              <w:bottom w:w="60" w:type="dxa"/>
              <w:right w:w="90" w:type="dxa"/>
            </w:tcMar>
          </w:tcPr>
          <w:p>
            <w:pPr>
              <w:spacing w:before="0" w:after="0" w:line="252" w:lineRule="auto"/>
            </w:pPr>
            <w:r>
              <w:rPr>
                <w:rFonts w:ascii="Calibri" w:hAnsi="Calibri"/>
                <w:sz w:val="19"/>
              </w:rPr>
              <w:t>Possible through cookie-free analytics on the publisher's site. Not on your copy. [VERIFY]</w:t>
            </w:r>
          </w:p>
        </w:tc>
      </w:tr>
    </w:tbl>
    <w:p>
      <w:pPr>
        <w:spacing w:before="0" w:after="0" w:line="160" w:lineRule="exact"/>
      </w:pPr>
      <w:r>
        <w:rPr>
          <w:sz w:val="2"/>
        </w:rPr>
      </w:r>
    </w:p>
    <w:p>
      <w:pPr>
        <w:pStyle w:val="Heading2"/>
        <w:pBdr>
          <w:top w:val="single" w:sz="18" w:space="6" w:color="FF8A3D"/>
        </w:pBdr>
        <w:spacing w:before="320"/>
      </w:pPr>
      <w:r>
        <w:rPr/>
        <w:t>How to verify this yourself in ten minutes</w:t>
      </w:r>
    </w:p>
    <w:p>
      <w:pPr>
        <w:spacing w:before="0" w:after="60"/>
        <w:ind w:left="504" w:hanging="360"/>
      </w:pPr>
      <w:r>
        <w:rPr>
          <w:b/>
          <w:color w:val="2F6F73"/>
        </w:rPr>
        <w:t xml:space="preserve">1. </w:t>
      </w:r>
      <w:r>
        <w:rPr/>
        <w:t>Copy the Reader, Lab and Slides folders to a laptop. Disconnect from the network.</w:t>
      </w:r>
    </w:p>
    <w:p>
      <w:pPr>
        <w:spacing w:before="0" w:after="60"/>
        <w:ind w:left="504" w:hanging="360"/>
      </w:pPr>
      <w:r>
        <w:rPr>
          <w:b/>
          <w:color w:val="2F6F73"/>
        </w:rPr>
        <w:t xml:space="preserve">2. </w:t>
      </w:r>
      <w:r>
        <w:rPr/>
        <w:t xml:space="preserve">Open </w:t>
      </w:r>
      <w:r>
        <w:rPr>
          <w:rFonts w:ascii="Consolas" w:hAnsi="Consolas"/>
          <w:color w:val="A8400A"/>
        </w:rPr>
        <w:t>27_Reader/index.html</w:t>
      </w:r>
      <w:r>
        <w:rPr/>
        <w:t xml:space="preserve"> and </w:t>
      </w:r>
      <w:r>
        <w:rPr>
          <w:rFonts w:ascii="Consolas" w:hAnsi="Consolas"/>
          <w:color w:val="A8400A"/>
        </w:rPr>
        <w:t>26_Lab/index.html</w:t>
      </w:r>
      <w:r>
        <w:rPr/>
        <w:t xml:space="preserve"> in a browser. Everything should work.</w:t>
      </w:r>
    </w:p>
    <w:p>
      <w:pPr>
        <w:spacing w:before="0" w:after="60"/>
        <w:ind w:left="504" w:hanging="360"/>
      </w:pPr>
      <w:r>
        <w:rPr>
          <w:b/>
          <w:color w:val="2F6F73"/>
        </w:rPr>
        <w:t xml:space="preserve">3. </w:t>
      </w:r>
      <w:r>
        <w:rPr/>
        <w:t>Open the browser developer tools, Network tab, and reload. You should see only requests to local files.</w:t>
      </w:r>
    </w:p>
    <w:p>
      <w:pPr>
        <w:spacing w:before="0" w:after="60"/>
        <w:ind w:left="504" w:hanging="360"/>
      </w:pPr>
      <w:r>
        <w:rPr>
          <w:b/>
          <w:color w:val="2F6F73"/>
        </w:rPr>
        <w:t xml:space="preserve">4. </w:t>
      </w:r>
      <w:r>
        <w:rPr/>
        <w:t xml:space="preserve">In the Application or Storage tab, look for cookies (expected: none) and localStorage (expected: only </w:t>
      </w:r>
      <w:r>
        <w:rPr>
          <w:rFonts w:ascii="Consolas" w:hAnsi="Consolas"/>
          <w:color w:val="A8400A"/>
        </w:rPr>
        <w:t>hk-theme</w:t>
      </w:r>
      <w:r>
        <w:rPr/>
        <w:t xml:space="preserve"> on the Reader, and only after a theme is chosen).</w:t>
      </w:r>
    </w:p>
    <w:p>
      <w:pPr>
        <w:spacing w:before="0" w:after="60"/>
        <w:ind w:left="504" w:hanging="360"/>
      </w:pPr>
      <w:r>
        <w:rPr>
          <w:b/>
          <w:color w:val="2F6F73"/>
        </w:rPr>
        <w:t xml:space="preserve">5. </w:t>
      </w:r>
      <w:r>
        <w:rPr/>
        <w:t>Search the folder for "http://" and "https://" in the script files (.js). Expect only XML namespace strings such as the SVG namespace, which are identifiers and are never fetched.</w:t>
      </w:r>
    </w:p>
    <w:p>
      <w:pPr>
        <w:spacing w:before="0" w:after="60"/>
        <w:ind w:left="504" w:hanging="360"/>
      </w:pPr>
      <w:r>
        <w:rPr>
          <w:b/>
          <w:color w:val="2F6F73"/>
        </w:rPr>
        <w:t xml:space="preserve">6. </w:t>
      </w:r>
      <w:r>
        <w:rPr/>
        <w:t xml:space="preserve">Run </w:t>
      </w:r>
      <w:r>
        <w:rPr>
          <w:rFonts w:ascii="Consolas" w:hAnsi="Consolas"/>
          <w:color w:val="A8400A"/>
        </w:rPr>
        <w:t>python tools/check_reader.py</w:t>
      </w:r>
      <w:r>
        <w:rPr/>
        <w:t xml:space="preserve"> and </w:t>
      </w:r>
      <w:r>
        <w:rPr>
          <w:rFonts w:ascii="Consolas" w:hAnsi="Consolas"/>
          <w:color w:val="A8400A"/>
        </w:rPr>
        <w:t>python tools/check_site.py</w:t>
      </w:r>
      <w:r>
        <w:rPr/>
        <w:t xml:space="preserve"> if you have Python.</w:t>
      </w:r>
    </w:p>
    <w:p>
      <w:pPr>
        <w:pStyle w:val="Heading2"/>
        <w:pBdr>
          <w:top w:val="single" w:sz="18" w:space="6" w:color="FF8A3D"/>
        </w:pBdr>
        <w:spacing w:before="320"/>
      </w:pPr>
      <w:r>
        <w:rPr/>
        <w:t>Limits of this statement</w:t>
      </w:r>
    </w:p>
    <w:p>
      <w:pPr>
        <w:pStyle w:val="ListBullet"/>
      </w:pPr>
      <w:r>
        <w:rPr/>
        <w:t>It describes files as built. It cannot promise that no one will alter a copy.</w:t>
      </w:r>
    </w:p>
    <w:p>
      <w:pPr>
        <w:pStyle w:val="ListBullet"/>
      </w:pPr>
      <w:r>
        <w:rPr/>
        <w:t>Verify downloads against the SHA-256 list so you know your copy is unaltered (see the IT and Library Checklist).</w:t>
      </w:r>
    </w:p>
    <w:p>
      <w:pPr>
        <w:pStyle w:val="ListBullet"/>
      </w:pPr>
      <w:r>
        <w:rPr/>
        <w:t>It is an engineering description, not a legal conclusion about FERPA, COPPA, PPRA or any state law. [COUNSEL TO CONFIRM]</w:t>
      </w:r>
    </w:p>
    <w:p>
      <w:pPr>
        <w:pStyle w:val="ListBullet"/>
      </w:pPr>
      <w:r>
        <w:rPr/>
        <w:t>Third-party sites linked from the Reader (for example hotline pages) are normal links that open only when someone clicks them, and they have their own privacy practices.</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DATA-FLOW STATEMENT</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Data-Flow Statement</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