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4E4"/>
  <w:body>
    <w:p>
      <w:pPr>
        <w:spacing w:before="0" w:after="80"/>
      </w:pPr>
      <w:r>
        <w:drawing>
          <wp:inline xmlns:a="http://schemas.openxmlformats.org/drawingml/2006/main" xmlns:pic="http://schemas.openxmlformats.org/drawingml/2006/picture">
            <wp:extent cx="1276649" cy="457200"/>
            <wp:docPr id="1" name="Picture 1" descr="Hackles logo"/>
            <wp:cNvGraphicFramePr>
              <a:graphicFrameLocks noChangeAspect="1"/>
            </wp:cNvGraphicFramePr>
            <a:graphic>
              <a:graphicData uri="http://schemas.openxmlformats.org/drawingml/2006/picture">
                <pic:pic>
                  <pic:nvPicPr>
                    <pic:cNvPr id="0" name="Hackles_logo_horizontal.png"/>
                    <pic:cNvPicPr/>
                  </pic:nvPicPr>
                  <pic:blipFill>
                    <a:blip r:embed="rId12"/>
                    <a:stretch>
                      <a:fillRect/>
                    </a:stretch>
                  </pic:blipFill>
                  <pic:spPr>
                    <a:xfrm>
                      <a:off x="0" y="0"/>
                      <a:ext cx="1276649" cy="457200"/>
                    </a:xfrm>
                    <a:prstGeom prst="rect"/>
                  </pic:spPr>
                </pic:pic>
              </a:graphicData>
            </a:graphic>
          </wp:inline>
        </w:drawing>
      </w:r>
    </w:p>
    <w:p>
      <w:pPr>
        <w:pBdr>
          <w:bottom w:val="double" w:sz="6" w:space="4" w:color="2B2D42"/>
        </w:pBdr>
        <w:spacing w:before="0" w:after="120"/>
      </w:pPr>
    </w:p>
    <w:p>
      <w:pPr>
        <w:spacing w:before="120" w:after="40" w:line="240" w:lineRule="auto"/>
      </w:pPr>
      <w:r>
        <w:rPr>
          <w:rFonts w:ascii="Georgia" w:hAnsi="Georgia"/>
          <w:b/>
          <w:color w:val="2B2D42"/>
          <w:sz w:val="56"/>
        </w:rPr>
        <w:t>Crisis and Disclosure Response, Text Version</w:t>
      </w:r>
    </w:p>
    <w:p>
      <w:pPr>
        <w:spacing w:before="0" w:after="40"/>
      </w:pPr>
      <w:r>
        <w:rPr>
          <w:rFonts w:ascii="Georgia" w:hAnsi="Georgia"/>
          <w:b/>
          <w:i/>
          <w:color w:val="2F6F73"/>
          <w:sz w:val="26"/>
        </w:rPr>
        <w:t>The Hackles Kit</w:t>
      </w:r>
    </w:p>
    <w:p>
      <w:pPr>
        <w:spacing w:before="0" w:after="240"/>
      </w:pPr>
      <w:r>
        <w:rPr>
          <w:rFonts w:ascii="Calibri" w:hAnsi="Calibri"/>
          <w:color w:val="5A5C70"/>
          <w:sz w:val="17"/>
        </w:rPr>
        <w:t>A free kit by Competence Collective · competencecollective.org · October 2026</w:t>
      </w:r>
    </w:p>
    <w:p>
      <w:r>
        <w:rPr>
          <w:i/>
        </w:rPr>
        <w:t>© 2026 Competence Collective. Lesson text and teaching materials CC BY-NC 4.0. The Hackles name, logos, characters and artwork are not covered by that license: print and share them unaltered for classroom and family use; any other use needs written permission. [VERIFY with counsel]</w:t>
      </w:r>
    </w:p>
    <w:p>
      <w:r>
        <w:rPr>
          <w:b/>
        </w:rPr>
        <w:t>Status: DRAFT for local review, 2026-10-05. Not legal advice.</w:t>
      </w:r>
      <w:r>
        <w:rPr/>
        <w:t xml:space="preserve"> Hackles has not been reviewed, approved or endorsed by FLDOE or any state agency. It has not been evaluated in a controlled study. Every legal or statistical statement is marked [VERIFY] or [COUNSEL TO CONFIRM]; ask your own counsel before relying on it.</w:t>
      </w:r>
    </w:p>
    <w:p>
      <w:r>
        <w:rPr>
          <w:i/>
        </w:rPr>
        <w:t>This is the accessible text version of the one-page flowchart (11_Crisis_Disclosure_Flowchart.pdf and .svg). Print the flowchart for lesson binders and use this version for screen readers and for editing. Fill every [local] blank before first use. It condenses the kit's Disclosure and Incident Guide. Where this page and your policy differ, follow your policy and tell your administrator the two should be aligned. [COUNSEL TO CONFIRM]</w:t>
      </w:r>
    </w:p>
    <w:p>
      <w:pPr>
        <w:pStyle w:val="Heading2"/>
        <w:pBdr>
          <w:top w:val="single" w:sz="18" w:space="6" w:color="FF8A3D"/>
        </w:pBdr>
        <w:spacing w:before="320"/>
      </w:pPr>
      <w:r>
        <w:rPr/>
        <w:t>Start</w:t>
      </w:r>
    </w:p>
    <w:p>
      <w:r>
        <w:rPr/>
        <w:t>A student tells you something serious, or you notice it.</w:t>
      </w:r>
    </w:p>
    <w:p>
      <w:pPr>
        <w:pStyle w:val="Heading2"/>
        <w:pBdr>
          <w:top w:val="single" w:sz="18" w:space="6" w:color="FF8A3D"/>
        </w:pBdr>
        <w:spacing w:before="320"/>
      </w:pPr>
      <w:r>
        <w:rPr/>
        <w:t>Step 1: First 10 Minutes</w:t>
      </w:r>
    </w:p>
    <w:p>
      <w:pPr>
        <w:pStyle w:val="ListBullet"/>
      </w:pPr>
      <w:r>
        <w:rPr/>
        <w:t>Stay calm. Soften your voice. Keep your face neutral.</w:t>
      </w:r>
    </w:p>
    <w:p>
      <w:pPr>
        <w:pStyle w:val="ListBullet"/>
      </w:pPr>
      <w:r>
        <w:rPr/>
        <w:t>Move to a private place that other adults can still see (door open or a glass window).</w:t>
      </w:r>
    </w:p>
    <w:p>
      <w:pPr>
        <w:pStyle w:val="ListBullet"/>
      </w:pPr>
      <w:r>
        <w:rPr/>
        <w:t>Say: "Thank you for telling me. This is not your fault. You are not in trouble."</w:t>
      </w:r>
    </w:p>
    <w:p>
      <w:pPr>
        <w:pStyle w:val="ListBullet"/>
      </w:pPr>
      <w:r>
        <w:rPr/>
        <w:t>Listen. Ask only "Tell me more" and "What happened next?" Do not ask leading questions or press for detail.</w:t>
      </w:r>
    </w:p>
    <w:p>
      <w:pPr>
        <w:pStyle w:val="ListBullet"/>
      </w:pPr>
      <w:r>
        <w:rPr/>
        <w:t>Do not promise secrecy. Say: "I need to get you help, and I will tell you who I tell."</w:t>
      </w:r>
    </w:p>
    <w:p>
      <w:pPr>
        <w:pStyle w:val="Heading2"/>
        <w:pBdr>
          <w:top w:val="single" w:sz="18" w:space="6" w:color="FF8A3D"/>
        </w:pBdr>
        <w:spacing w:before="320"/>
      </w:pPr>
      <w:r>
        <w:rPr/>
        <w:t>Decision A: Is anyone in immediate danger, or at risk of self-harm?</w:t>
      </w:r>
    </w:p>
    <w:p>
      <w:r>
        <w:rPr>
          <w:b/>
        </w:rPr>
        <w:t>Yes.</w:t>
      </w:r>
      <w:r>
        <w:rPr/>
        <w:t xml:space="preserve"> Stay with the student. Call 911 if anyone is in danger. Follow the crisis protocol. For self-harm, call or text 988. Bring in the counselor and the administrator now. [Local: crisis line and on-call contact: ____________]</w:t>
      </w:r>
    </w:p>
    <w:p>
      <w:r>
        <w:rPr>
          <w:b/>
        </w:rPr>
        <w:t>No.</w:t>
      </w:r>
      <w:r>
        <w:rPr/>
        <w:t xml:space="preserve"> Go to Decision B.</w:t>
      </w:r>
    </w:p>
    <w:p>
      <w:pPr>
        <w:pStyle w:val="Heading2"/>
        <w:pBdr>
          <w:top w:val="single" w:sz="18" w:space="6" w:color="FF8A3D"/>
        </w:pBdr>
        <w:spacing w:before="320"/>
      </w:pPr>
      <w:r>
        <w:rPr/>
        <w:t>Decision B: Are intimate images involved, including AI-made fakes?</w:t>
      </w:r>
    </w:p>
    <w:p>
      <w:r>
        <w:rPr>
          <w:b/>
        </w:rPr>
        <w:t>Yes.</w:t>
      </w:r>
      <w:r>
        <w:rPr/>
        <w:t xml:space="preserve"> Never view the image. Do not look, copy, forward, print or screenshot. Do not ask anyone to show you. Secure the device as policy directs and hand it to the designated person. Keep only the surrounding words, such as usernames and dates.</w:t>
      </w:r>
    </w:p>
    <w:p>
      <w:r>
        <w:rPr>
          <w:b/>
        </w:rPr>
        <w:t>No or unsure.</w:t>
      </w:r>
      <w:r>
        <w:rPr/>
        <w:t xml:space="preserve"> Go to Step 2. If unsure, treat it as yes for the image rules.</w:t>
      </w:r>
    </w:p>
    <w:p>
      <w:pPr>
        <w:pStyle w:val="Heading2"/>
        <w:pBdr>
          <w:top w:val="single" w:sz="18" w:space="6" w:color="FF8A3D"/>
        </w:pBdr>
        <w:spacing w:before="320"/>
      </w:pPr>
      <w:r>
        <w:rPr/>
        <w:t>Step 2: Report personally, per school policy and law</w:t>
      </w:r>
    </w:p>
    <w:p>
      <w:pPr>
        <w:pStyle w:val="ListBullet"/>
      </w:pPr>
      <w:r>
        <w:rPr/>
        <w:t>Report to child protective services or law enforcement as your state law and policy require, promptly, without waiting for proof.</w:t>
      </w:r>
    </w:p>
    <w:p>
      <w:pPr>
        <w:pStyle w:val="ListBullet"/>
      </w:pPr>
      <w:r>
        <w:rPr/>
        <w:t>Then tell the administrator and the counselor.</w:t>
      </w:r>
    </w:p>
    <w:p>
      <w:pPr>
        <w:pStyle w:val="ListBullet"/>
      </w:pPr>
      <w:r>
        <w:rPr/>
        <w:t>Telling a supervisor may not satisfy your own legal duty. Ask your administrator now, not after a disclosure.</w:t>
      </w:r>
    </w:p>
    <w:p>
      <w:pPr>
        <w:pStyle w:val="ListBullet"/>
      </w:pPr>
      <w:r>
        <w:rPr/>
        <w:t>For online exploitation, the NCMEC CyberTipline is also a reporting route. Your school decides who files it.</w:t>
      </w:r>
    </w:p>
    <w:p>
      <w:pPr>
        <w:pStyle w:val="ListBullet"/>
      </w:pPr>
      <w:r>
        <w:rPr/>
        <w:t>[Local: reporting line, phone, deadline, backup contact, who files the NCMEC report: ____________]</w:t>
      </w:r>
    </w:p>
    <w:p>
      <w:pPr>
        <w:pStyle w:val="Heading2"/>
        <w:pBdr>
          <w:top w:val="single" w:sz="18" w:space="6" w:color="FF8A3D"/>
        </w:pBdr>
        <w:spacing w:before="320"/>
      </w:pPr>
      <w:r>
        <w:rPr/>
        <w:t>Step 3: Preserve evidence, using the three-case rule</w:t>
      </w:r>
    </w:p>
    <w:p>
      <w:pPr>
        <w:spacing w:before="0" w:after="60"/>
        <w:ind w:left="504" w:hanging="360"/>
      </w:pPr>
      <w:r>
        <w:rPr>
          <w:b/>
          <w:color w:val="2F6F73"/>
        </w:rPr>
        <w:t xml:space="preserve">1. </w:t>
      </w:r>
      <w:r>
        <w:rPr>
          <w:b/>
        </w:rPr>
        <w:t>Words and records</w:t>
      </w:r>
      <w:r>
        <w:rPr/>
        <w:t xml:space="preserve"> (comments, threats, usernames, links, dates, scam messages): screenshots and saved copies are fine. Keep them private. Never post or forward them.</w:t>
      </w:r>
    </w:p>
    <w:p>
      <w:pPr>
        <w:spacing w:before="0" w:after="60"/>
        <w:ind w:left="504" w:hanging="360"/>
      </w:pPr>
      <w:r>
        <w:rPr>
          <w:b/>
          <w:color w:val="2F6F73"/>
        </w:rPr>
        <w:t xml:space="preserve">2. </w:t>
      </w:r>
      <w:r>
        <w:rPr>
          <w:b/>
        </w:rPr>
        <w:t>Intimate or sexual pictures of anyone under 18</w:t>
      </w:r>
      <w:r>
        <w:rPr/>
        <w:t>, including the student, a classmate, or an AI or edited fake: do not capture, save, forward or show anyone, including you. Save only the words around them.</w:t>
      </w:r>
    </w:p>
    <w:p>
      <w:pPr>
        <w:spacing w:before="0" w:after="60"/>
        <w:ind w:left="504" w:hanging="360"/>
      </w:pPr>
      <w:r>
        <w:rPr>
          <w:b/>
          <w:color w:val="2F6F73"/>
        </w:rPr>
        <w:t xml:space="preserve">3. </w:t>
      </w:r>
      <w:r>
        <w:rPr>
          <w:b/>
        </w:rPr>
        <w:t>Not sure which kind it is?</w:t>
      </w:r>
      <w:r>
        <w:rPr/>
        <w:t xml:space="preserve"> Do not capture it. Tell a trusted adult first. Telling matters more than saving. [COUNSEL TO CONFIRM wording]</w:t>
      </w:r>
    </w:p>
    <w:p>
      <w:pPr>
        <w:pStyle w:val="Heading2"/>
        <w:pBdr>
          <w:top w:val="single" w:sz="18" w:space="6" w:color="FF8A3D"/>
        </w:pBdr>
        <w:spacing w:before="320"/>
      </w:pPr>
      <w:r>
        <w:rPr/>
        <w:t>Step 4: Support the student</w:t>
      </w:r>
    </w:p>
    <w:p>
      <w:pPr>
        <w:pStyle w:val="ListBullet"/>
      </w:pPr>
      <w:r>
        <w:rPr/>
        <w:t>Check in kindly, without pressing for new details.</w:t>
      </w:r>
    </w:p>
    <w:p>
      <w:pPr>
        <w:pStyle w:val="ListBullet"/>
      </w:pPr>
      <w:r>
        <w:rPr/>
        <w:t>Keep the counselor involved.</w:t>
      </w:r>
    </w:p>
    <w:p>
      <w:pPr>
        <w:pStyle w:val="ListBullet"/>
      </w:pPr>
      <w:r>
        <w:rPr/>
        <w:t>Protect the student from gossip and retaliation.</w:t>
      </w:r>
    </w:p>
    <w:p>
      <w:pPr>
        <w:pStyle w:val="ListBullet"/>
      </w:pPr>
      <w:r>
        <w:rPr/>
        <w:t>The administrator, with the reporting authorities, decides how and when families are told, keeping the child's safety first. Do not contact a family member who may be involved.</w:t>
      </w:r>
    </w:p>
    <w:p>
      <w:pPr>
        <w:pStyle w:val="ListBullet"/>
      </w:pPr>
      <w:r>
        <w:rPr/>
        <w:t>Do not pay anyone, do not delete the account or the messages, and do not confront the other person. In sextortion cases, a counselor or family can walk the student through Take It Down (takeitdown.ncmec.org) for images made when the person was under 18. It works only with participating platforms, so also report on each platform. [VERIFY]</w:t>
      </w:r>
    </w:p>
    <w:p>
      <w:pPr>
        <w:pStyle w:val="Heading2"/>
        <w:pBdr>
          <w:top w:val="single" w:sz="18" w:space="6" w:color="FF8A3D"/>
        </w:pBdr>
        <w:spacing w:before="320"/>
      </w:pPr>
      <w:r>
        <w:rPr/>
        <w:t>Step 5: Document and follow up</w:t>
      </w:r>
    </w:p>
    <w:p>
      <w:pPr>
        <w:pStyle w:val="ListBullet"/>
      </w:pPr>
      <w:r>
        <w:rPr/>
        <w:t>Same day: write the child's exact words, the date and time, who you told and what you did, on the confidential form. Facts only. No guesses, no diagnoses.</w:t>
      </w:r>
    </w:p>
    <w:p>
      <w:pPr>
        <w:pStyle w:val="ListBullet"/>
      </w:pPr>
      <w:r>
        <w:rPr/>
        <w:t>Check in with the student after 24 hours, 1 week and 1 month.</w:t>
      </w:r>
    </w:p>
    <w:p>
      <w:pPr>
        <w:pStyle w:val="ListBullet"/>
      </w:pPr>
      <w:r>
        <w:rPr/>
        <w:t>Debrief with the counselor the same day. If you did these steps, you did your job.</w:t>
      </w:r>
    </w:p>
    <w:p>
      <w:pPr>
        <w:pStyle w:val="Heading2"/>
        <w:pBdr>
          <w:top w:val="single" w:sz="18" w:space="6" w:color="FF8A3D"/>
        </w:pBdr>
        <w:spacing w:before="320"/>
      </w:pPr>
      <w:r>
        <w:rPr/>
        <w:t>Do not</w:t>
      </w:r>
    </w:p>
    <w:p>
      <w:pPr>
        <w:pStyle w:val="ListBullet"/>
      </w:pPr>
      <w:r>
        <w:rPr/>
        <w:t>Show shock or disgust.</w:t>
      </w:r>
    </w:p>
    <w:p>
      <w:pPr>
        <w:pStyle w:val="ListBullet"/>
      </w:pPr>
      <w:r>
        <w:rPr/>
        <w:t>Ask "Why did you...?" or "How could you...?"</w:t>
      </w:r>
    </w:p>
    <w:p>
      <w:pPr>
        <w:pStyle w:val="ListBullet"/>
      </w:pPr>
      <w:r>
        <w:rPr/>
        <w:t>Promise secrecy or outcomes.</w:t>
      </w:r>
    </w:p>
    <w:p>
      <w:pPr>
        <w:pStyle w:val="ListBullet"/>
      </w:pPr>
      <w:r>
        <w:rPr/>
        <w:t>Investigate or contact the other person.</w:t>
      </w:r>
    </w:p>
    <w:p>
      <w:pPr>
        <w:pStyle w:val="ListBullet"/>
      </w:pPr>
      <w:r>
        <w:rPr/>
        <w:t>Stay alone behind a closed door with a child.</w:t>
      </w:r>
    </w:p>
    <w:p>
      <w:pPr>
        <w:pStyle w:val="ListBullet"/>
      </w:pPr>
      <w:r>
        <w:rPr/>
        <w:t>Assume that telling the principal is enough.</w:t>
      </w:r>
    </w:p>
    <w:p>
      <w:pPr>
        <w:pStyle w:val="ListBullet"/>
      </w:pPr>
      <w:r>
        <w:rPr/>
        <w:t>Punish the student for telling.</w:t>
      </w:r>
    </w:p>
    <w:p>
      <w:pPr>
        <w:pStyle w:val="Heading2"/>
        <w:pBdr>
          <w:top w:val="single" w:sz="18" w:space="6" w:color="FF8A3D"/>
        </w:pBdr>
        <w:spacing w:before="320"/>
      </w:pPr>
      <w:r>
        <w:rPr/>
        <w:t>Our local contacts</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5669"/>
        <w:gridCol w:w="1234"/>
        <w:gridCol w:w="2889"/>
      </w:tblGrid>
      <w:tr>
        <w:trPr>
          <w:tblHeader/>
          <w:cantSplit/>
        </w:trPr>
        <w:tc>
          <w:tcPr>
            <w:tcW w:type="dxa" w:w="5669"/>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ROLE</w:t>
            </w:r>
          </w:p>
        </w:tc>
        <w:tc>
          <w:tcPr>
            <w:tcW w:type="dxa" w:w="123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NAME</w:t>
            </w:r>
          </w:p>
        </w:tc>
        <w:tc>
          <w:tcPr>
            <w:tcW w:type="dxa" w:w="288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PHONE OR CHANNEL</w:t>
            </w:r>
          </w:p>
        </w:tc>
      </w:tr>
      <w:tr>
        <w:trPr>
          <w:cantSplit/>
          <w:trHeight w:val="432"/>
        </w:trPr>
        <w:tc>
          <w:tcPr>
            <w:tcW w:type="dxa" w:w="5669"/>
            <w:tcMar>
              <w:top w:w="50" w:type="dxa"/>
              <w:left w:w="0" w:type="dxa"/>
              <w:bottom w:w="60" w:type="dxa"/>
              <w:right w:w="90" w:type="dxa"/>
            </w:tcMar>
          </w:tcPr>
          <w:p>
            <w:pPr>
              <w:spacing w:before="0" w:after="0" w:line="252" w:lineRule="auto"/>
            </w:pPr>
            <w:r>
              <w:rPr>
                <w:rFonts w:ascii="Calibri" w:hAnsi="Calibri"/>
                <w:sz w:val="19"/>
              </w:rPr>
              <w:t>Administrator on call</w:t>
            </w:r>
          </w:p>
        </w:tc>
        <w:tc>
          <w:tcPr>
            <w:tcW w:type="dxa" w:w="1234"/>
            <w:tcMar>
              <w:top w:w="50" w:type="dxa"/>
              <w:left w:w="90" w:type="dxa"/>
              <w:bottom w:w="60" w:type="dxa"/>
              <w:right w:w="90" w:type="dxa"/>
            </w:tcMar>
          </w:tcPr>
          <w:p>
            <w:pPr>
              <w:spacing w:before="0" w:after="0" w:line="252" w:lineRule="auto"/>
            </w:pPr>
          </w:p>
        </w:tc>
        <w:tc>
          <w:tcPr>
            <w:tcW w:type="dxa" w:w="2889"/>
            <w:tcMar>
              <w:top w:w="50" w:type="dxa"/>
              <w:left w:w="90" w:type="dxa"/>
              <w:bottom w:w="60" w:type="dxa"/>
              <w:right w:w="90" w:type="dxa"/>
            </w:tcMar>
          </w:tcPr>
          <w:p>
            <w:pPr>
              <w:spacing w:before="0" w:after="0" w:line="252" w:lineRule="auto"/>
            </w:pPr>
          </w:p>
        </w:tc>
      </w:tr>
      <w:tr>
        <w:trPr>
          <w:cantSplit/>
          <w:trHeight w:val="432"/>
        </w:trPr>
        <w:tc>
          <w:tcPr>
            <w:tcW w:type="dxa" w:w="5669"/>
            <w:tcMar>
              <w:top w:w="50" w:type="dxa"/>
              <w:left w:w="0" w:type="dxa"/>
              <w:bottom w:w="60" w:type="dxa"/>
              <w:right w:w="90" w:type="dxa"/>
            </w:tcMar>
          </w:tcPr>
          <w:p>
            <w:pPr>
              <w:spacing w:before="0" w:after="0" w:line="252" w:lineRule="auto"/>
            </w:pPr>
            <w:r>
              <w:rPr>
                <w:rFonts w:ascii="Calibri" w:hAnsi="Calibri"/>
                <w:sz w:val="19"/>
              </w:rPr>
              <w:t>Counselor</w:t>
            </w:r>
          </w:p>
        </w:tc>
        <w:tc>
          <w:tcPr>
            <w:tcW w:type="dxa" w:w="1234"/>
            <w:tcMar>
              <w:top w:w="50" w:type="dxa"/>
              <w:left w:w="90" w:type="dxa"/>
              <w:bottom w:w="60" w:type="dxa"/>
              <w:right w:w="90" w:type="dxa"/>
            </w:tcMar>
          </w:tcPr>
          <w:p>
            <w:pPr>
              <w:spacing w:before="0" w:after="0" w:line="252" w:lineRule="auto"/>
            </w:pPr>
          </w:p>
        </w:tc>
        <w:tc>
          <w:tcPr>
            <w:tcW w:type="dxa" w:w="2889"/>
            <w:tcMar>
              <w:top w:w="50" w:type="dxa"/>
              <w:left w:w="90" w:type="dxa"/>
              <w:bottom w:w="60" w:type="dxa"/>
              <w:right w:w="90" w:type="dxa"/>
            </w:tcMar>
          </w:tcPr>
          <w:p>
            <w:pPr>
              <w:spacing w:before="0" w:after="0" w:line="252" w:lineRule="auto"/>
            </w:pPr>
          </w:p>
        </w:tc>
      </w:tr>
      <w:tr>
        <w:trPr>
          <w:cantSplit/>
          <w:trHeight w:val="432"/>
        </w:trPr>
        <w:tc>
          <w:tcPr>
            <w:tcW w:type="dxa" w:w="5669"/>
            <w:tcMar>
              <w:top w:w="50" w:type="dxa"/>
              <w:left w:w="0" w:type="dxa"/>
              <w:bottom w:w="60" w:type="dxa"/>
              <w:right w:w="90" w:type="dxa"/>
            </w:tcMar>
          </w:tcPr>
          <w:p>
            <w:pPr>
              <w:spacing w:before="0" w:after="0" w:line="252" w:lineRule="auto"/>
            </w:pPr>
            <w:r>
              <w:rPr>
                <w:rFonts w:ascii="Calibri" w:hAnsi="Calibri"/>
                <w:sz w:val="19"/>
              </w:rPr>
              <w:t>State or local child-abuse reporting line</w:t>
            </w:r>
          </w:p>
        </w:tc>
        <w:tc>
          <w:tcPr>
            <w:tcW w:type="dxa" w:w="1234"/>
            <w:tcMar>
              <w:top w:w="50" w:type="dxa"/>
              <w:left w:w="90" w:type="dxa"/>
              <w:bottom w:w="60" w:type="dxa"/>
              <w:right w:w="90" w:type="dxa"/>
            </w:tcMar>
          </w:tcPr>
          <w:p>
            <w:pPr>
              <w:spacing w:before="0" w:after="0" w:line="252" w:lineRule="auto"/>
            </w:pPr>
          </w:p>
        </w:tc>
        <w:tc>
          <w:tcPr>
            <w:tcW w:type="dxa" w:w="2889"/>
            <w:tcMar>
              <w:top w:w="50" w:type="dxa"/>
              <w:left w:w="90" w:type="dxa"/>
              <w:bottom w:w="60" w:type="dxa"/>
              <w:right w:w="90" w:type="dxa"/>
            </w:tcMar>
          </w:tcPr>
          <w:p>
            <w:pPr>
              <w:spacing w:before="0" w:after="0" w:line="252" w:lineRule="auto"/>
            </w:pPr>
          </w:p>
        </w:tc>
      </w:tr>
      <w:tr>
        <w:trPr>
          <w:cantSplit/>
          <w:trHeight w:val="432"/>
        </w:trPr>
        <w:tc>
          <w:tcPr>
            <w:tcW w:type="dxa" w:w="5669"/>
            <w:tcMar>
              <w:top w:w="50" w:type="dxa"/>
              <w:left w:w="0" w:type="dxa"/>
              <w:bottom w:w="60" w:type="dxa"/>
              <w:right w:w="90" w:type="dxa"/>
            </w:tcMar>
          </w:tcPr>
          <w:p>
            <w:pPr>
              <w:spacing w:before="0" w:after="0" w:line="252" w:lineRule="auto"/>
            </w:pPr>
            <w:r>
              <w:rPr>
                <w:rFonts w:ascii="Calibri" w:hAnsi="Calibri"/>
                <w:sz w:val="19"/>
              </w:rPr>
              <w:t>Law enforcement non-emergency line</w:t>
            </w:r>
          </w:p>
        </w:tc>
        <w:tc>
          <w:tcPr>
            <w:tcW w:type="dxa" w:w="1234"/>
            <w:tcMar>
              <w:top w:w="50" w:type="dxa"/>
              <w:left w:w="90" w:type="dxa"/>
              <w:bottom w:w="60" w:type="dxa"/>
              <w:right w:w="90" w:type="dxa"/>
            </w:tcMar>
          </w:tcPr>
          <w:p>
            <w:pPr>
              <w:spacing w:before="0" w:after="0" w:line="252" w:lineRule="auto"/>
            </w:pPr>
          </w:p>
        </w:tc>
        <w:tc>
          <w:tcPr>
            <w:tcW w:type="dxa" w:w="2889"/>
            <w:tcMar>
              <w:top w:w="50" w:type="dxa"/>
              <w:left w:w="90" w:type="dxa"/>
              <w:bottom w:w="60" w:type="dxa"/>
              <w:right w:w="90" w:type="dxa"/>
            </w:tcMar>
          </w:tcPr>
          <w:p>
            <w:pPr>
              <w:spacing w:before="0" w:after="0" w:line="252" w:lineRule="auto"/>
            </w:pPr>
          </w:p>
        </w:tc>
      </w:tr>
      <w:tr>
        <w:trPr>
          <w:cantSplit/>
          <w:trHeight w:val="432"/>
        </w:trPr>
        <w:tc>
          <w:tcPr>
            <w:tcW w:type="dxa" w:w="5669"/>
            <w:tcMar>
              <w:top w:w="50" w:type="dxa"/>
              <w:left w:w="0" w:type="dxa"/>
              <w:bottom w:w="60" w:type="dxa"/>
              <w:right w:w="90" w:type="dxa"/>
            </w:tcMar>
          </w:tcPr>
          <w:p>
            <w:pPr>
              <w:spacing w:before="0" w:after="0" w:line="252" w:lineRule="auto"/>
            </w:pPr>
            <w:r>
              <w:rPr>
                <w:rFonts w:ascii="Calibri" w:hAnsi="Calibri"/>
                <w:sz w:val="19"/>
              </w:rPr>
              <w:t>Who files the NCMEC CyberTipline report</w:t>
            </w:r>
          </w:p>
        </w:tc>
        <w:tc>
          <w:tcPr>
            <w:tcW w:type="dxa" w:w="1234"/>
            <w:tcMar>
              <w:top w:w="50" w:type="dxa"/>
              <w:left w:w="90" w:type="dxa"/>
              <w:bottom w:w="60" w:type="dxa"/>
              <w:right w:w="90" w:type="dxa"/>
            </w:tcMar>
          </w:tcPr>
          <w:p>
            <w:pPr>
              <w:spacing w:before="0" w:after="0" w:line="252" w:lineRule="auto"/>
            </w:pPr>
          </w:p>
        </w:tc>
        <w:tc>
          <w:tcPr>
            <w:tcW w:type="dxa" w:w="2889"/>
            <w:tcMar>
              <w:top w:w="50" w:type="dxa"/>
              <w:left w:w="90" w:type="dxa"/>
              <w:bottom w:w="60" w:type="dxa"/>
              <w:right w:w="90" w:type="dxa"/>
            </w:tcMar>
          </w:tcPr>
          <w:p>
            <w:pPr>
              <w:spacing w:before="0" w:after="0" w:line="252" w:lineRule="auto"/>
            </w:pPr>
          </w:p>
        </w:tc>
      </w:tr>
      <w:tr>
        <w:trPr>
          <w:cantSplit/>
          <w:trHeight w:val="432"/>
        </w:trPr>
        <w:tc>
          <w:tcPr>
            <w:tcW w:type="dxa" w:w="5669"/>
            <w:tcMar>
              <w:top w:w="50" w:type="dxa"/>
              <w:left w:w="0" w:type="dxa"/>
              <w:bottom w:w="60" w:type="dxa"/>
              <w:right w:w="90" w:type="dxa"/>
            </w:tcMar>
          </w:tcPr>
          <w:p>
            <w:pPr>
              <w:spacing w:before="0" w:after="0" w:line="252" w:lineRule="auto"/>
            </w:pPr>
            <w:r>
              <w:rPr>
                <w:rFonts w:ascii="Calibri" w:hAnsi="Calibri"/>
                <w:sz w:val="19"/>
              </w:rPr>
              <w:t>Backup if the counselor is out</w:t>
            </w:r>
          </w:p>
        </w:tc>
        <w:tc>
          <w:tcPr>
            <w:tcW w:type="dxa" w:w="1234"/>
            <w:tcMar>
              <w:top w:w="50" w:type="dxa"/>
              <w:left w:w="90" w:type="dxa"/>
              <w:bottom w:w="60" w:type="dxa"/>
              <w:right w:w="90" w:type="dxa"/>
            </w:tcMar>
          </w:tcPr>
          <w:p>
            <w:pPr>
              <w:spacing w:before="0" w:after="0" w:line="252" w:lineRule="auto"/>
            </w:pPr>
          </w:p>
        </w:tc>
        <w:tc>
          <w:tcPr>
            <w:tcW w:type="dxa" w:w="2889"/>
            <w:tcMar>
              <w:top w:w="50" w:type="dxa"/>
              <w:left w:w="90" w:type="dxa"/>
              <w:bottom w:w="60" w:type="dxa"/>
              <w:right w:w="90" w:type="dxa"/>
            </w:tcMar>
          </w:tcPr>
          <w:p>
            <w:pPr>
              <w:spacing w:before="0" w:after="0" w:line="252" w:lineRule="auto"/>
            </w:pPr>
          </w:p>
        </w:tc>
      </w:tr>
    </w:tbl>
    <w:p>
      <w:pPr>
        <w:spacing w:before="0" w:after="0" w:line="160" w:lineRule="exact"/>
      </w:pPr>
      <w:r>
        <w:rPr>
          <w:sz w:val="2"/>
        </w:rPr>
      </w:r>
    </w:p>
    <w:p>
      <w:pPr>
        <w:pStyle w:val="Heading2"/>
        <w:pBdr>
          <w:top w:val="single" w:sz="18" w:space="6" w:color="FF8A3D"/>
        </w:pBdr>
        <w:spacing w:before="320"/>
      </w:pPr>
      <w:r>
        <w:rPr/>
        <w:t>Plus-lesson additions</w:t>
      </w:r>
    </w:p>
    <w:p>
      <w:pPr>
        <w:pStyle w:val="ListBullet"/>
      </w:pPr>
      <w:r>
        <w:rPr>
          <w:b/>
        </w:rPr>
        <w:t>Possible trafficking or exploitation:</w:t>
      </w:r>
      <w:r>
        <w:rPr/>
        <w:t xml:space="preserve"> do not investigate, report immediately, 911 if anyone is in danger. In Florida, the Florida Abuse Hotline or the Florida Human Trafficking Hotline as district procedure directs; the numbers are in the kit's guides. [VERIFY before printing]</w:t>
      </w:r>
    </w:p>
    <w:p>
      <w:pPr>
        <w:pStyle w:val="ListBullet"/>
      </w:pPr>
      <w:r>
        <w:rPr>
          <w:b/>
        </w:rPr>
        <w:t>Low mood, hopelessness or compulsive use, no immediate danger:</w:t>
      </w:r>
      <w:r>
        <w:rPr/>
        <w:t xml:space="preserve"> listen, do not diagnose, tell the counselor the same day. Any hint of self-harm: stay with the student and use the crisis protocol and 988.</w:t>
      </w:r>
    </w:p>
    <w:p>
      <w:pPr>
        <w:pStyle w:val="ListBullet"/>
      </w:pPr>
      <w:r>
        <w:rPr>
          <w:b/>
        </w:rPr>
        <w:t>Bullying without sexual content or threats:</w:t>
      </w:r>
      <w:r>
        <w:rPr/>
        <w:t xml:space="preserve"> use the school bullying policy.</w:t>
      </w:r>
    </w:p>
    <w:sectPr w:rsidR="00FC693F" w:rsidRPr="0006063C" w:rsidSect="00034616">
      <w:headerReference w:type="default" r:id="rId9"/>
      <w:footerReference w:type="default" r:id="rId10"/>
      <w:footerReference w:type="first" r:id="rId11"/>
      <w:headerReference w:type="first" r:id="rId13"/>
      <w:pgSz w:w="12240" w:h="15840"/>
      <w:pgMar w:top="1368" w:right="1224" w:bottom="1224" w:left="122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 2026 Competence Collective · competencecollective.org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 2026 Competence Collective · competencecollective.org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4" w:color="2B2D42"/>
      </w:pBdr>
      <w:tabs>
        <w:tab w:pos="9792" w:val="right"/>
      </w:tabs>
      <w:spacing w:after="0"/>
    </w:pPr>
    <w:r/>
    <w:r>
      <w:rPr>
        <w:rFonts w:ascii="Calibri" w:hAnsi="Calibri"/>
        <w:b/>
        <w:color w:val="2F6F73"/>
        <w:sz w:val="15"/>
      </w:rPr>
      <w:t>CRISIS AND DISCLOSURE RESPONSE, TEXT VERSION</w:t>
    </w:r>
    <w:r>
      <w:rPr>
        <w:rFonts w:ascii="Calibri" w:hAnsi="Calibri"/>
        <w:color w:val="5A5C70"/>
        <w:sz w:val="13"/>
      </w:rPr>
      <w:tab/>
      <w:t>THE FIELD GUIDE TO THE WILD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mbria" w:hAnsi="Cambria" w:cs="Cambria" w:eastAsia="Cambria"/>
      <w:color w:val="2B2D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cs="Georgia" w:eastAsia="Georgia"/>
      <w:b/>
      <w:bCs/>
      <w:i w:val="0"/>
      <w:color w:val="2B2D42"/>
      <w:sz w:val="5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cs="Georgia" w:eastAsia="Georgia"/>
      <w:b/>
      <w:bCs/>
      <w:i w:val="0"/>
      <w:color w:val="2B2D42"/>
      <w:sz w:val="3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aps/>
      <w:color w:val="2F6F73"/>
      <w:sz w:val="19"/>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Georgia" w:hAnsi="Georgia" w:cs="Georgia" w:eastAsia="Georgia"/>
      <w:b/>
      <w:bCs/>
      <w:i/>
      <w:iCs/>
      <w:color w:val="2B2D4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cs="Cambria" w:eastAsia="Cambria"/>
      <w:color w:val="2B2D42"/>
      <w:sz w:val="21"/>
    </w:rPr>
  </w:style>
  <w:style w:type="paragraph" w:styleId="ListBullet2">
    <w:name w:val="List Bullet 2"/>
    <w:basedOn w:val="Normal"/>
    <w:uiPriority w:val="99"/>
    <w:unhideWhenUsed/>
    <w:rsid w:val="00326F90"/>
    <w:pPr>
      <w:numPr>
        <w:numId w:val="2"/>
      </w:numPr>
      <w:spacing w:after="60"/>
      <w:contextualSpacing/>
    </w:pPr>
    <w:rPr>
      <w:rFonts w:ascii="Cambria" w:hAnsi="Cambria" w:cs="Cambria" w:eastAsia="Cambria"/>
      <w:color w:val="2B2D42"/>
      <w:sz w:val="21"/>
    </w:rPr>
  </w:style>
  <w:style w:type="paragraph" w:styleId="ListBullet3">
    <w:name w:val="List Bullet 3"/>
    <w:basedOn w:val="Normal"/>
    <w:uiPriority w:val="99"/>
    <w:unhideWhenUsed/>
    <w:rsid w:val="00326F90"/>
    <w:pPr>
      <w:numPr>
        <w:numId w:val="3"/>
      </w:numPr>
      <w:spacing w:after="60"/>
      <w:contextualSpacing/>
    </w:pPr>
    <w:rPr>
      <w:rFonts w:ascii="Cambria" w:hAnsi="Cambria" w:cs="Cambria" w:eastAsia="Cambria"/>
      <w:color w:val="2B2D42"/>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Hackles: Crisis and Disclosure Response, Text Version</dc:title>
  <dc:subject>The Hackles Kit</dc:subject>
  <dc:creator>Competence Collective</dc:creator>
  <cp:keywords>Hackles, Pause, Check, Tell</cp:keywords>
  <dc:description>generated by python-docx</dc:description>
  <cp:lastModifiedBy/>
  <cp:revision>1</cp:revision>
  <dcterms:created xsi:type="dcterms:W3CDTF">2013-12-23T23:15:00Z</dcterms:created>
  <dcterms:modified xsi:type="dcterms:W3CDTF">2013-12-23T23:15:00Z</dcterms:modified>
  <cp:category/>
</cp:coreProperties>
</file>