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rFonts w:ascii="Calibri" w:cs="Calibri" w:eastAsia="Calibri" w:hAnsi="Calibri"/>
          <w:sz w:val="52"/>
          <w:szCs w:val="52"/>
        </w:rPr>
        <w:t xml:space="preserve">Incident Response Fundamentals</w:t>
      </w:r>
    </w:p>
    <w:p>
      <w:pPr>
        <w:spacing w:after="140"/>
      </w:pPr>
      <w:r>
        <w:rPr>
          <w:rFonts w:ascii="Century Gothic" w:cs="Century Gothic" w:eastAsia="Century Gothic" w:hAnsi="Century Gothic"/>
          <w:b/>
          <w:bCs/>
          <w:sz w:val="28"/>
          <w:szCs w:val="28"/>
        </w:rPr>
        <w:t xml:space="preserve">Prerequisites:  </w:t>
      </w:r>
      <w:r>
        <w:rPr>
          <w:rFonts w:ascii="Verdana" w:cs="Verdana" w:eastAsia="Verdana" w:hAnsi="Verdana"/>
          <w:sz w:val="24"/>
          <w:szCs w:val="24"/>
        </w:rPr>
        <w:t xml:space="preserve">Networking and operating systems fundamentals. Introduction to Digital Forensics is helpful but not required.</w:t>
      </w:r>
    </w:p>
    <w:p>
      <w:pPr>
        <w:spacing w:after="140"/>
      </w:pPr>
      <w:r>
        <w:rPr>
          <w:rFonts w:ascii="Century Gothic" w:cs="Century Gothic" w:eastAsia="Century Gothic" w:hAnsi="Century Gothic"/>
          <w:b/>
          <w:bCs/>
          <w:sz w:val="28"/>
          <w:szCs w:val="28"/>
        </w:rPr>
        <w:t xml:space="preserve">Length of Completion:  </w:t>
      </w:r>
      <w:r>
        <w:rPr>
          <w:rFonts w:ascii="Verdana" w:cs="Verdana" w:eastAsia="Verdana" w:hAnsi="Verdana"/>
          <w:sz w:val="24"/>
          <w:szCs w:val="24"/>
        </w:rPr>
        <w:t xml:space="preserve">8 weeks. One three-hour session per week, with about two hours of reading and preparation on top. Five practice labs, two 45-minute timed drills and a 90-minute final incident.</w:t>
      </w:r>
    </w:p>
    <w:p>
      <w:pPr>
        <w:spacing w:after="140"/>
      </w:pPr>
      <w:r>
        <w:rPr>
          <w:rFonts w:ascii="Century Gothic" w:cs="Century Gothic" w:eastAsia="Century Gothic" w:hAnsi="Century Gothic"/>
          <w:b/>
          <w:bCs/>
          <w:sz w:val="28"/>
          <w:szCs w:val="28"/>
        </w:rPr>
        <w:t xml:space="preserve">Level of Instruction:  </w:t>
      </w:r>
      <w:r>
        <w:rPr>
          <w:rFonts w:ascii="Verdana" w:cs="Verdana" w:eastAsia="Verdana" w:hAnsi="Verdana"/>
          <w:sz w:val="24"/>
          <w:szCs w:val="24"/>
        </w:rPr>
        <w:t xml:space="preserve">Upper-division undergraduate, graduate, or a professional cohort such as a new SOC analyst group. Written for cybersecurity, information technology and computer science majors; students outside those majors who meet the prerequisites have done well.</w:t>
      </w:r>
    </w:p>
    <w:p>
      <w:pPr>
        <w:spacing w:after="140"/>
      </w:pPr>
      <w:r>
        <w:rPr>
          <w:rFonts w:ascii="Century Gothic" w:cs="Century Gothic" w:eastAsia="Century Gothic" w:hAnsi="Century Gothic"/>
          <w:b/>
          <w:bCs/>
          <w:sz w:val="28"/>
          <w:szCs w:val="28"/>
        </w:rPr>
        <w:t xml:space="preserve">Learning Setting:  </w:t>
      </w:r>
      <w:r>
        <w:rPr>
          <w:rFonts w:ascii="Verdana" w:cs="Verdana" w:eastAsia="Verdana" w:hAnsi="Verdana"/>
          <w:sz w:val="24"/>
          <w:szCs w:val="24"/>
        </w:rPr>
        <w:t xml:space="preserve">In-class, hybrid or fully online. Each student works on their own laptop or a lab workstation and submits through a web portal the instructor runs locally or on a campus server. The timed drills are run as a group session, in the room or on a call.</w:t>
      </w:r>
    </w:p>
    <w:p>
      <w:pPr>
        <w:shd w:fill="1F3864" w:color="auto" w:val="clear"/>
        <w:spacing w:after="200" w:before="280"/>
        <w:jc w:val="center"/>
      </w:pPr>
      <w:r>
        <w:rPr>
          <w:rFonts w:ascii="Century Gothic" w:cs="Century Gothic" w:eastAsia="Century Gothic" w:hAnsi="Century Gothic"/>
          <w:i/>
          <w:iCs/>
          <w:color w:val="FFFFFF"/>
          <w:sz w:val="28"/>
          <w:szCs w:val="28"/>
        </w:rPr>
        <w:t xml:space="preserve">Course Description</w:t>
      </w:r>
    </w:p>
    <w:p>
      <w:pPr>
        <w:spacing w:after="160"/>
      </w:pPr>
      <w:r>
        <w:rPr>
          <w:rFonts w:ascii="Verdana" w:cs="Verdana" w:eastAsia="Verdana" w:hAnsi="Verdana"/>
          <w:sz w:val="24"/>
          <w:szCs w:val="24"/>
        </w:rPr>
        <w:t xml:space="preserve">This course covers a responder's first weeks on a security team: reading what the detection tools are saying, deciding which alerts are real, working out how far an intruder got, and choosing what to do about it. Students work eight cases that are built from the same kinds of exports a working SOC uses: an EDR alert feed, a SIEM queue, proxy and firewall logs, Windows event logs, a mailbox, a packet capture.</w:t>
      </w:r>
    </w:p>
    <w:p>
      <w:pPr>
        <w:spacing w:after="160"/>
      </w:pPr>
      <w:r>
        <w:rPr>
          <w:rFonts w:ascii="Verdana" w:cs="Verdana" w:eastAsia="Verdana" w:hAnsi="Verdana"/>
          <w:sz w:val="24"/>
          <w:szCs w:val="24"/>
        </w:rPr>
        <w:t xml:space="preserve">The first three weeks each take one source and teach students to read it on its own. Week 4 is the first drill, a phishing intrusion followed from the email to the foothold, worked in 45 minutes against the clock and ending with a containment decision. Weeks 5 and 6 cover malware triage and lateral movement, where the work is scoping: which hosts, which accounts, what data. Week 7 is the second drill, a business email compromise with a wire transfer pending. Week 8 is the final: a ransomware chain caught while the locker is still running, worked in 90 minutes, followed by a written breach report.</w:t>
      </w:r>
    </w:p>
    <w:p>
      <w:pPr>
        <w:spacing w:after="160"/>
      </w:pPr>
      <w:r>
        <w:rPr>
          <w:rFonts w:ascii="Verdana" w:cs="Verdana" w:eastAsia="Verdana" w:hAnsi="Verdana"/>
          <w:sz w:val="24"/>
          <w:szCs w:val="24"/>
        </w:rPr>
        <w:t xml:space="preserve">Every case is mapped to MITRE ATT&amp;CK and to the NIST SP 800-61 incident lifecycle, and students are expected to use that vocabulary from the first lab. Every student gets a different version of each case, with different hosts, accounts, indicators and answers, so the class debrief can be about the decisions people made rather than the answers they got.</w:t>
      </w:r>
    </w:p>
    <w:p>
      <w:pPr>
        <w:spacing w:after="160"/>
      </w:pPr>
      <w:r>
        <w:rPr>
          <w:rFonts w:ascii="Verdana" w:cs="Verdana" w:eastAsia="Verdana" w:hAnsi="Verdana"/>
          <w:sz w:val="24"/>
          <w:szCs w:val="24"/>
        </w:rPr>
        <w:t xml:space="preserve">The cases are generated with Red Herrings (https://redherrings.app). The readings, policies, rubric and schedule below stand on their own and can be used with any comparable evidence sets.</w:t>
      </w:r>
    </w:p>
    <w:p>
      <w:pPr>
        <w:keepNext/>
        <w:spacing w:after="120" w:before="280"/>
      </w:pPr>
      <w:r>
        <w:rPr>
          <w:rFonts w:ascii="Verdana" w:cs="Verdana" w:eastAsia="Verdana" w:hAnsi="Verdana"/>
          <w:b/>
          <w:bCs/>
          <w:sz w:val="24"/>
          <w:szCs w:val="24"/>
        </w:rPr>
        <w:t xml:space="preserve">Learning Outcomes:</w:t>
      </w:r>
    </w:p>
    <w:p>
      <w:pPr>
        <w:spacing w:after="160"/>
      </w:pPr>
      <w:r>
        <w:rPr>
          <w:rFonts w:ascii="Verdana" w:cs="Verdana" w:eastAsia="Verdana" w:hAnsi="Verdana"/>
          <w:sz w:val="24"/>
          <w:szCs w:val="24"/>
        </w:rPr>
        <w:t xml:space="preserve">Upon completion of the course, students will be able to:</w:t>
      </w:r>
    </w:p>
    <w:p>
      <w:pPr>
        <w:pStyle w:val="ListParagraph"/>
        <w:numPr>
          <w:ilvl w:val="0"/>
          <w:numId w:val="2"/>
        </w:numPr>
        <w:spacing w:after="60"/>
      </w:pPr>
      <w:r>
        <w:rPr>
          <w:rFonts w:ascii="Verdana" w:cs="Verdana" w:eastAsia="Verdana" w:hAnsi="Verdana"/>
          <w:sz w:val="24"/>
          <w:szCs w:val="24"/>
        </w:rPr>
        <w:t xml:space="preserve">Triage an EDR, SIEM or proxy export by severity, read the process tree or entity graph on an alert, and assign the correct ATT&amp;CK technique ID.</w:t>
      </w:r>
    </w:p>
    <w:p>
      <w:pPr>
        <w:pStyle w:val="ListParagraph"/>
        <w:numPr>
          <w:ilvl w:val="0"/>
          <w:numId w:val="2"/>
        </w:numPr>
        <w:spacing w:after="60"/>
      </w:pPr>
      <w:r>
        <w:rPr>
          <w:rFonts w:ascii="Verdana" w:cs="Verdana" w:eastAsia="Verdana" w:hAnsi="Verdana"/>
          <w:sz w:val="24"/>
          <w:szCs w:val="24"/>
        </w:rPr>
        <w:t xml:space="preserve">Separate true positives from benign activity in a noisy alert queue and write a one-line triage note that a shift lead could act on.</w:t>
      </w:r>
    </w:p>
    <w:p>
      <w:pPr>
        <w:pStyle w:val="ListParagraph"/>
        <w:numPr>
          <w:ilvl w:val="0"/>
          <w:numId w:val="2"/>
        </w:numPr>
        <w:spacing w:after="60"/>
      </w:pPr>
      <w:r>
        <w:rPr>
          <w:rFonts w:ascii="Verdana" w:cs="Verdana" w:eastAsia="Verdana" w:hAnsi="Verdana"/>
          <w:sz w:val="24"/>
          <w:szCs w:val="24"/>
        </w:rPr>
        <w:t xml:space="preserve">Scope an intrusion from initial access to impact: every host and account reached, with the log record that proves each one.</w:t>
      </w:r>
    </w:p>
    <w:p>
      <w:pPr>
        <w:pStyle w:val="ListParagraph"/>
        <w:numPr>
          <w:ilvl w:val="0"/>
          <w:numId w:val="2"/>
        </w:numPr>
        <w:spacing w:after="60"/>
      </w:pPr>
      <w:r>
        <w:rPr>
          <w:rFonts w:ascii="Verdana" w:cs="Verdana" w:eastAsia="Verdana" w:hAnsi="Verdana"/>
          <w:sz w:val="24"/>
          <w:szCs w:val="24"/>
        </w:rPr>
        <w:t xml:space="preserve">Choose containment, eradication and recovery actions for a live incident, put them in order, and justify each against the evidence.</w:t>
      </w:r>
    </w:p>
    <w:p>
      <w:pPr>
        <w:pStyle w:val="ListParagraph"/>
        <w:numPr>
          <w:ilvl w:val="0"/>
          <w:numId w:val="2"/>
        </w:numPr>
        <w:spacing w:after="60"/>
      </w:pPr>
      <w:r>
        <w:rPr>
          <w:rFonts w:ascii="Verdana" w:cs="Verdana" w:eastAsia="Verdana" w:hAnsi="Verdana"/>
          <w:sz w:val="24"/>
          <w:szCs w:val="24"/>
        </w:rPr>
        <w:t xml:space="preserve">Produce an indicator list (hashes, domains, IPs, accounts, where each was seen) and a breach report a manager can act on from page one.</w:t>
      </w:r>
    </w:p>
    <w:p>
      <w:pPr>
        <w:keepNext/>
        <w:spacing w:after="120" w:before="280"/>
      </w:pPr>
      <w:r>
        <w:rPr>
          <w:rFonts w:ascii="Verdana" w:cs="Verdana" w:eastAsia="Verdana" w:hAnsi="Verdana"/>
          <w:b/>
          <w:bCs/>
          <w:sz w:val="24"/>
          <w:szCs w:val="24"/>
        </w:rPr>
        <w:t xml:space="preserve">Materials:</w:t>
      </w:r>
    </w:p>
    <w:p>
      <w:pPr>
        <w:keepNext/>
        <w:spacing w:after="100" w:before="160"/>
      </w:pPr>
      <w:r>
        <w:rPr>
          <w:rFonts w:ascii="Verdana" w:cs="Verdana" w:eastAsia="Verdana" w:hAnsi="Verdana"/>
          <w:sz w:val="24"/>
          <w:szCs w:val="24"/>
          <w:u w:val="single"/>
        </w:rPr>
        <w:t xml:space="preserve">Required Text</w:t>
      </w:r>
    </w:p>
    <w:p>
      <w:pPr>
        <w:spacing w:after="160"/>
      </w:pPr>
      <w:r>
        <w:rPr>
          <w:rFonts w:ascii="Verdana" w:cs="Verdana" w:eastAsia="Verdana" w:hAnsi="Verdana"/>
          <w:sz w:val="24"/>
          <w:szCs w:val="24"/>
        </w:rPr>
        <w:t xml:space="preserve">None. Everything assigned is a free NIST or CISA publication, MITRE ATT&amp;CK, or vendor documentation, listed below and tied to a week in the schedule.</w:t>
      </w:r>
    </w:p>
    <w:p>
      <w:pPr>
        <w:keepNext/>
        <w:spacing w:after="100" w:before="160"/>
      </w:pPr>
      <w:r>
        <w:rPr>
          <w:rFonts w:ascii="Verdana" w:cs="Verdana" w:eastAsia="Verdana" w:hAnsi="Verdana"/>
          <w:sz w:val="24"/>
          <w:szCs w:val="24"/>
          <w:u w:val="single"/>
        </w:rPr>
        <w:t xml:space="preserve">Additional Materials</w:t>
      </w:r>
    </w:p>
    <w:p>
      <w:pPr>
        <w:pStyle w:val="ListParagraph"/>
        <w:numPr>
          <w:ilvl w:val="0"/>
          <w:numId w:val="2"/>
        </w:numPr>
        <w:spacing w:after="60"/>
      </w:pPr>
      <w:r>
        <w:rPr>
          <w:rFonts w:ascii="Verdana" w:cs="Verdana" w:eastAsia="Verdana" w:hAnsi="Verdana"/>
          <w:sz w:val="24"/>
          <w:szCs w:val="24"/>
        </w:rPr>
        <w:t xml:space="preserve">The weekly evidence package for each student, distributed as a ZIP or as a private link in the student portal.</w:t>
      </w:r>
    </w:p>
    <w:p>
      <w:pPr>
        <w:pStyle w:val="ListParagraph"/>
        <w:numPr>
          <w:ilvl w:val="0"/>
          <w:numId w:val="2"/>
        </w:numPr>
        <w:spacing w:after="60"/>
      </w:pPr>
      <w:r>
        <w:rPr>
          <w:rFonts w:ascii="Verdana" w:cs="Verdana" w:eastAsia="Verdana" w:hAnsi="Verdana"/>
          <w:sz w:val="24"/>
          <w:szCs w:val="24"/>
        </w:rPr>
        <w:t xml:space="preserve">The containment decision checklist, the breach report template and the breach report rubric (course materials at https://redherrings.app/resources.html).</w:t>
      </w:r>
    </w:p>
    <w:p>
      <w:pPr>
        <w:pStyle w:val="ListParagraph"/>
        <w:numPr>
          <w:ilvl w:val="0"/>
          <w:numId w:val="2"/>
        </w:numPr>
        <w:spacing w:after="60"/>
      </w:pPr>
      <w:r>
        <w:rPr>
          <w:rFonts w:ascii="Verdana" w:cs="Verdana" w:eastAsia="Verdana" w:hAnsi="Verdana"/>
          <w:sz w:val="24"/>
          <w:szCs w:val="24"/>
        </w:rPr>
        <w:t xml:space="preserve">A short primer for each evidence source, included in the lab pack for that week.</w:t>
      </w:r>
    </w:p>
    <w:p>
      <w:pPr>
        <w:keepNext/>
        <w:spacing w:after="100" w:before="160"/>
      </w:pPr>
      <w:r>
        <w:rPr>
          <w:rFonts w:ascii="Verdana" w:cs="Verdana" w:eastAsia="Verdana" w:hAnsi="Verdana"/>
          <w:sz w:val="24"/>
          <w:szCs w:val="24"/>
          <w:u w:val="single"/>
        </w:rPr>
        <w:t xml:space="preserve">Library Resources or Open-Source Materials</w:t>
      </w:r>
    </w:p>
    <w:p>
      <w:pPr>
        <w:spacing w:after="160"/>
      </w:pPr>
      <w:r>
        <w:rPr>
          <w:rFonts w:ascii="Verdana" w:cs="Verdana" w:eastAsia="Verdana" w:hAnsi="Verdana"/>
          <w:sz w:val="24"/>
          <w:szCs w:val="24"/>
        </w:rPr>
        <w:t xml:space="preserve">All free to read online. The last column of each entry says where it is used.</w:t>
      </w:r>
    </w:p>
    <w:p>
      <w:pPr>
        <w:pStyle w:val="ListParagraph"/>
        <w:numPr>
          <w:ilvl w:val="0"/>
          <w:numId w:val="2"/>
        </w:numPr>
        <w:spacing w:after="60"/>
      </w:pPr>
      <w:r>
        <w:rPr>
          <w:rFonts w:ascii="Verdana" w:cs="Verdana" w:eastAsia="Verdana" w:hAnsi="Verdana"/>
          <w:i/>
          <w:iCs/>
          <w:sz w:val="24"/>
          <w:szCs w:val="24"/>
        </w:rPr>
        <w:t xml:space="preserve">Computer Security Incident Handling Guide (SP 800-61 Rev. 2; Rev. 3 is the CSF 2.0 profile). </w:t>
      </w:r>
      <w:r>
        <w:rPr>
          <w:rFonts w:ascii="Verdana" w:cs="Verdana" w:eastAsia="Verdana" w:hAnsi="Verdana"/>
          <w:sz w:val="24"/>
          <w:szCs w:val="24"/>
        </w:rPr>
        <w:t xml:space="preserve">NIST. </w:t>
      </w:r>
      <w:hyperlink w:history="1" r:id="rIdwzc79t8k_l9fs25kv_olq">
        <w:r>
          <w:rPr>
            <w:rFonts w:ascii="Verdana" w:cs="Verdana" w:eastAsia="Verdana" w:hAnsi="Verdana"/>
            <w:color w:val="1F3864"/>
            <w:sz w:val="24"/>
            <w:szCs w:val="24"/>
            <w:u w:val="single"/>
          </w:rPr>
          <w:t xml:space="preserve">https://doi.org/10.6028/NIST.SP.800-61r2</w:t>
        </w:r>
      </w:hyperlink>
      <w:r>
        <w:rPr>
          <w:rFonts w:ascii="Verdana" w:cs="Verdana" w:eastAsia="Verdana" w:hAnsi="Verdana"/>
          <w:sz w:val="24"/>
          <w:szCs w:val="24"/>
        </w:rPr>
        <w:t xml:space="preserve"> The lifecycle every week maps to: preparation, detection and analysis, containment, eradication and recovery, lessons learned.</w:t>
      </w:r>
    </w:p>
    <w:p>
      <w:pPr>
        <w:pStyle w:val="ListParagraph"/>
        <w:numPr>
          <w:ilvl w:val="0"/>
          <w:numId w:val="2"/>
        </w:numPr>
        <w:spacing w:after="60"/>
      </w:pPr>
      <w:r>
        <w:rPr>
          <w:rFonts w:ascii="Verdana" w:cs="Verdana" w:eastAsia="Verdana" w:hAnsi="Verdana"/>
          <w:i/>
          <w:iCs/>
          <w:sz w:val="24"/>
          <w:szCs w:val="24"/>
        </w:rPr>
        <w:t xml:space="preserve">MITRE ATT&amp;CK Enterprise matrix and Getting Started. </w:t>
      </w:r>
      <w:r>
        <w:rPr>
          <w:rFonts w:ascii="Verdana" w:cs="Verdana" w:eastAsia="Verdana" w:hAnsi="Verdana"/>
          <w:sz w:val="24"/>
          <w:szCs w:val="24"/>
        </w:rPr>
        <w:t xml:space="preserve">MITRE. </w:t>
      </w:r>
      <w:hyperlink w:history="1" r:id="rIdffj_ug3rnjflfzspb3neb">
        <w:r>
          <w:rPr>
            <w:rFonts w:ascii="Verdana" w:cs="Verdana" w:eastAsia="Verdana" w:hAnsi="Verdana"/>
            <w:color w:val="1F3864"/>
            <w:sz w:val="24"/>
            <w:szCs w:val="24"/>
            <w:u w:val="single"/>
          </w:rPr>
          <w:t xml:space="preserve">https://attack.mitre.org/</w:t>
        </w:r>
      </w:hyperlink>
      <w:r>
        <w:rPr>
          <w:rFonts w:ascii="Verdana" w:cs="Verdana" w:eastAsia="Verdana" w:hAnsi="Verdana"/>
          <w:sz w:val="24"/>
          <w:szCs w:val="24"/>
        </w:rPr>
        <w:t xml:space="preserve"> Technique ids for every detection from week 1; tactics for scoping in weeks 6 and 8.</w:t>
      </w:r>
    </w:p>
    <w:p>
      <w:pPr>
        <w:pStyle w:val="ListParagraph"/>
        <w:numPr>
          <w:ilvl w:val="0"/>
          <w:numId w:val="2"/>
        </w:numPr>
        <w:spacing w:after="60"/>
      </w:pPr>
      <w:r>
        <w:rPr>
          <w:rFonts w:ascii="Verdana" w:cs="Verdana" w:eastAsia="Verdana" w:hAnsi="Verdana"/>
          <w:i/>
          <w:iCs/>
          <w:sz w:val="24"/>
          <w:szCs w:val="24"/>
        </w:rPr>
        <w:t xml:space="preserve">Federal Government Cybersecurity Incident and Vulnerability Response Playbooks. </w:t>
      </w:r>
      <w:r>
        <w:rPr>
          <w:rFonts w:ascii="Verdana" w:cs="Verdana" w:eastAsia="Verdana" w:hAnsi="Verdana"/>
          <w:sz w:val="24"/>
          <w:szCs w:val="24"/>
        </w:rPr>
        <w:t xml:space="preserve">CISA. </w:t>
      </w:r>
      <w:hyperlink w:history="1" r:id="rIdhi47j7ilqurdqvev078wx">
        <w:r>
          <w:rPr>
            <w:rFonts w:ascii="Verdana" w:cs="Verdana" w:eastAsia="Verdana" w:hAnsi="Verdana"/>
            <w:color w:val="1F3864"/>
            <w:sz w:val="24"/>
            <w:szCs w:val="24"/>
            <w:u w:val="single"/>
          </w:rPr>
          <w:t xml:space="preserve">https://www.cisa.gov/resources-tools/resources/federal-government-cybersecurity-incident-and-vulnerability-response-playbooks</w:t>
        </w:r>
      </w:hyperlink>
      <w:r>
        <w:rPr>
          <w:rFonts w:ascii="Verdana" w:cs="Verdana" w:eastAsia="Verdana" w:hAnsi="Verdana"/>
          <w:sz w:val="24"/>
          <w:szCs w:val="24"/>
        </w:rPr>
        <w:t xml:space="preserve"> Decision checklists for the drills in weeks 4 and 7.</w:t>
      </w:r>
    </w:p>
    <w:p>
      <w:pPr>
        <w:pStyle w:val="ListParagraph"/>
        <w:numPr>
          <w:ilvl w:val="0"/>
          <w:numId w:val="2"/>
        </w:numPr>
        <w:spacing w:after="60"/>
      </w:pPr>
      <w:r>
        <w:rPr>
          <w:rFonts w:ascii="Verdana" w:cs="Verdana" w:eastAsia="Verdana" w:hAnsi="Verdana"/>
          <w:i/>
          <w:iCs/>
          <w:sz w:val="24"/>
          <w:szCs w:val="24"/>
        </w:rPr>
        <w:t xml:space="preserve">Guide to Malware Incident Prevention and Handling (SP 800-83 Rev. 1). </w:t>
      </w:r>
      <w:r>
        <w:rPr>
          <w:rFonts w:ascii="Verdana" w:cs="Verdana" w:eastAsia="Verdana" w:hAnsi="Verdana"/>
          <w:sz w:val="24"/>
          <w:szCs w:val="24"/>
        </w:rPr>
        <w:t xml:space="preserve">NIST. </w:t>
      </w:r>
      <w:hyperlink w:history="1" r:id="rIdptlm92yslkq8x_sfpiryq">
        <w:r>
          <w:rPr>
            <w:rFonts w:ascii="Verdana" w:cs="Verdana" w:eastAsia="Verdana" w:hAnsi="Verdana"/>
            <w:color w:val="1F3864"/>
            <w:sz w:val="24"/>
            <w:szCs w:val="24"/>
            <w:u w:val="single"/>
          </w:rPr>
          <w:t xml:space="preserve">https://doi.org/10.6028/NIST.SP.800-83r1</w:t>
        </w:r>
      </w:hyperlink>
      <w:r>
        <w:rPr>
          <w:rFonts w:ascii="Verdana" w:cs="Verdana" w:eastAsia="Verdana" w:hAnsi="Verdana"/>
          <w:sz w:val="24"/>
          <w:szCs w:val="24"/>
        </w:rPr>
        <w:t xml:space="preserve"> Malware triage and containment, week 5.</w:t>
      </w:r>
    </w:p>
    <w:p>
      <w:pPr>
        <w:pStyle w:val="ListParagraph"/>
        <w:numPr>
          <w:ilvl w:val="0"/>
          <w:numId w:val="2"/>
        </w:numPr>
        <w:spacing w:after="60"/>
      </w:pPr>
      <w:r>
        <w:rPr>
          <w:rFonts w:ascii="Verdana" w:cs="Verdana" w:eastAsia="Verdana" w:hAnsi="Verdana"/>
          <w:i/>
          <w:iCs/>
          <w:sz w:val="24"/>
          <w:szCs w:val="24"/>
        </w:rPr>
        <w:t xml:space="preserve">#StopRansomware Guide. </w:t>
      </w:r>
      <w:r>
        <w:rPr>
          <w:rFonts w:ascii="Verdana" w:cs="Verdana" w:eastAsia="Verdana" w:hAnsi="Verdana"/>
          <w:sz w:val="24"/>
          <w:szCs w:val="24"/>
        </w:rPr>
        <w:t xml:space="preserve">CISA and partners. </w:t>
      </w:r>
      <w:hyperlink w:history="1" r:id="rId3gzvbkxamvpcoioe_vyuc">
        <w:r>
          <w:rPr>
            <w:rFonts w:ascii="Verdana" w:cs="Verdana" w:eastAsia="Verdana" w:hAnsi="Verdana"/>
            <w:color w:val="1F3864"/>
            <w:sz w:val="24"/>
            <w:szCs w:val="24"/>
            <w:u w:val="single"/>
          </w:rPr>
          <w:t xml:space="preserve">https://www.cisa.gov/stopransomware/ransomware-guide</w:t>
        </w:r>
      </w:hyperlink>
      <w:r>
        <w:rPr>
          <w:rFonts w:ascii="Verdana" w:cs="Verdana" w:eastAsia="Verdana" w:hAnsi="Verdana"/>
          <w:sz w:val="24"/>
          <w:szCs w:val="24"/>
        </w:rPr>
        <w:t xml:space="preserve"> Response checklist for the final incident, week 8.</w:t>
      </w:r>
    </w:p>
    <w:p>
      <w:pPr>
        <w:pStyle w:val="ListParagraph"/>
        <w:numPr>
          <w:ilvl w:val="0"/>
          <w:numId w:val="2"/>
        </w:numPr>
        <w:spacing w:after="60"/>
      </w:pPr>
      <w:r>
        <w:rPr>
          <w:rFonts w:ascii="Verdana" w:cs="Verdana" w:eastAsia="Verdana" w:hAnsi="Verdana"/>
          <w:i/>
          <w:iCs/>
          <w:sz w:val="24"/>
          <w:szCs w:val="24"/>
        </w:rPr>
        <w:t xml:space="preserve">Windows security auditing: events to monitor. </w:t>
      </w:r>
      <w:r>
        <w:rPr>
          <w:rFonts w:ascii="Verdana" w:cs="Verdana" w:eastAsia="Verdana" w:hAnsi="Verdana"/>
          <w:sz w:val="24"/>
          <w:szCs w:val="24"/>
        </w:rPr>
        <w:t xml:space="preserve">Microsoft Learn. </w:t>
      </w:r>
      <w:hyperlink w:history="1" r:id="rIdy0o8hnkwk8ncqjeetwqqg">
        <w:r>
          <w:rPr>
            <w:rFonts w:ascii="Verdana" w:cs="Verdana" w:eastAsia="Verdana" w:hAnsi="Verdana"/>
            <w:color w:val="1F3864"/>
            <w:sz w:val="24"/>
            <w:szCs w:val="24"/>
            <w:u w:val="single"/>
          </w:rPr>
          <w:t xml:space="preserve">https://learn.microsoft.com/windows-server/identity/ad-ds/plan/appendix-l--events-to-monitor</w:t>
        </w:r>
      </w:hyperlink>
      <w:r>
        <w:rPr>
          <w:rFonts w:ascii="Verdana" w:cs="Verdana" w:eastAsia="Verdana" w:hAnsi="Verdana"/>
          <w:sz w:val="24"/>
          <w:szCs w:val="24"/>
        </w:rPr>
        <w:t xml:space="preserve"> Logon types and service installs for lateral movement, week 6.</w:t>
      </w:r>
    </w:p>
    <w:p>
      <w:pPr>
        <w:pStyle w:val="ListParagraph"/>
        <w:numPr>
          <w:ilvl w:val="0"/>
          <w:numId w:val="2"/>
        </w:numPr>
        <w:spacing w:after="60"/>
      </w:pPr>
      <w:r>
        <w:rPr>
          <w:rFonts w:ascii="Verdana" w:cs="Verdana" w:eastAsia="Verdana" w:hAnsi="Verdana"/>
          <w:i/>
          <w:iCs/>
          <w:sz w:val="24"/>
          <w:szCs w:val="24"/>
        </w:rPr>
        <w:t xml:space="preserve">Responding to a compromised email account. </w:t>
      </w:r>
      <w:r>
        <w:rPr>
          <w:rFonts w:ascii="Verdana" w:cs="Verdana" w:eastAsia="Verdana" w:hAnsi="Verdana"/>
          <w:sz w:val="24"/>
          <w:szCs w:val="24"/>
        </w:rPr>
        <w:t xml:space="preserve">Microsoft Learn (Defender for Office 365). </w:t>
      </w:r>
      <w:hyperlink w:history="1" r:id="rIdkxwvokuf34fwtfnepd161">
        <w:r>
          <w:rPr>
            <w:rFonts w:ascii="Verdana" w:cs="Verdana" w:eastAsia="Verdana" w:hAnsi="Verdana"/>
            <w:color w:val="1F3864"/>
            <w:sz w:val="24"/>
            <w:szCs w:val="24"/>
            <w:u w:val="single"/>
          </w:rPr>
          <w:t xml:space="preserve">https://learn.microsoft.com/defender-office-365/responding-to-a-compromised-email-account</w:t>
        </w:r>
      </w:hyperlink>
      <w:r>
        <w:rPr>
          <w:rFonts w:ascii="Verdana" w:cs="Verdana" w:eastAsia="Verdana" w:hAnsi="Verdana"/>
          <w:sz w:val="24"/>
          <w:szCs w:val="24"/>
        </w:rPr>
        <w:t xml:space="preserve"> Mailbox rules, sign-ins and what to revoke, week 7.</w:t>
      </w:r>
    </w:p>
    <w:p>
      <w:pPr>
        <w:pStyle w:val="ListParagraph"/>
        <w:numPr>
          <w:ilvl w:val="0"/>
          <w:numId w:val="2"/>
        </w:numPr>
        <w:spacing w:after="60"/>
      </w:pPr>
      <w:r>
        <w:rPr>
          <w:rFonts w:ascii="Verdana" w:cs="Verdana" w:eastAsia="Verdana" w:hAnsi="Verdana"/>
          <w:i/>
          <w:iCs/>
          <w:sz w:val="24"/>
          <w:szCs w:val="24"/>
        </w:rPr>
        <w:t xml:space="preserve">Wireshark User's Guide. </w:t>
      </w:r>
      <w:r>
        <w:rPr>
          <w:rFonts w:ascii="Verdana" w:cs="Verdana" w:eastAsia="Verdana" w:hAnsi="Verdana"/>
          <w:sz w:val="24"/>
          <w:szCs w:val="24"/>
        </w:rPr>
        <w:t xml:space="preserve">Wireshark Foundation. </w:t>
      </w:r>
      <w:hyperlink w:history="1" r:id="rIdrqagaqgb-vhoxuvhio1pn">
        <w:r>
          <w:rPr>
            <w:rFonts w:ascii="Verdana" w:cs="Verdana" w:eastAsia="Verdana" w:hAnsi="Verdana"/>
            <w:color w:val="1F3864"/>
            <w:sz w:val="24"/>
            <w:szCs w:val="24"/>
            <w:u w:val="single"/>
          </w:rPr>
          <w:t xml:space="preserve">https://www.wireshark.org/docs/wsug_html_chunked/</w:t>
        </w:r>
      </w:hyperlink>
      <w:r>
        <w:rPr>
          <w:rFonts w:ascii="Verdana" w:cs="Verdana" w:eastAsia="Verdana" w:hAnsi="Verdana"/>
          <w:sz w:val="24"/>
          <w:szCs w:val="24"/>
        </w:rPr>
        <w:t xml:space="preserve"> Reading captures behind the proxy and C2 weeks.</w:t>
      </w:r>
    </w:p>
    <w:p>
      <w:pPr>
        <w:pStyle w:val="ListParagraph"/>
        <w:numPr>
          <w:ilvl w:val="0"/>
          <w:numId w:val="2"/>
        </w:numPr>
        <w:spacing w:after="60"/>
      </w:pPr>
      <w:r>
        <w:rPr>
          <w:rFonts w:ascii="Verdana" w:cs="Verdana" w:eastAsia="Verdana" w:hAnsi="Verdana"/>
          <w:i/>
          <w:iCs/>
          <w:sz w:val="24"/>
          <w:szCs w:val="24"/>
        </w:rPr>
        <w:t xml:space="preserve">Good Practice Guide for Incident Management. </w:t>
      </w:r>
      <w:r>
        <w:rPr>
          <w:rFonts w:ascii="Verdana" w:cs="Verdana" w:eastAsia="Verdana" w:hAnsi="Verdana"/>
          <w:sz w:val="24"/>
          <w:szCs w:val="24"/>
        </w:rPr>
        <w:t xml:space="preserve">ENISA. </w:t>
      </w:r>
      <w:hyperlink w:history="1" r:id="rIdgrstip7pencu35ehwxond">
        <w:r>
          <w:rPr>
            <w:rFonts w:ascii="Verdana" w:cs="Verdana" w:eastAsia="Verdana" w:hAnsi="Verdana"/>
            <w:color w:val="1F3864"/>
            <w:sz w:val="24"/>
            <w:szCs w:val="24"/>
            <w:u w:val="single"/>
          </w:rPr>
          <w:t xml:space="preserve">https://www.enisa.europa.eu/publications/good-practice-guide-for-incident-management</w:t>
        </w:r>
      </w:hyperlink>
      <w:r>
        <w:rPr>
          <w:rFonts w:ascii="Verdana" w:cs="Verdana" w:eastAsia="Verdana" w:hAnsi="Verdana"/>
          <w:sz w:val="24"/>
          <w:szCs w:val="24"/>
        </w:rPr>
        <w:t xml:space="preserve"> Team roles and escalation; background for the breach report.</w:t>
      </w:r>
    </w:p>
    <w:p>
      <w:pPr>
        <w:keepNext/>
        <w:spacing w:after="120" w:before="280"/>
      </w:pPr>
      <w:r>
        <w:rPr>
          <w:rFonts w:ascii="Verdana" w:cs="Verdana" w:eastAsia="Verdana" w:hAnsi="Verdana"/>
          <w:b/>
          <w:bCs/>
          <w:sz w:val="24"/>
          <w:szCs w:val="24"/>
        </w:rPr>
        <w:t xml:space="preserve">Technical Specifications:</w:t>
      </w:r>
    </w:p>
    <w:p>
      <w:pPr>
        <w:pStyle w:val="ListParagraph"/>
        <w:numPr>
          <w:ilvl w:val="0"/>
          <w:numId w:val="2"/>
        </w:numPr>
        <w:spacing w:after="60"/>
      </w:pPr>
      <w:r>
        <w:rPr>
          <w:rFonts w:ascii="Verdana" w:cs="Verdana" w:eastAsia="Verdana" w:hAnsi="Verdana"/>
          <w:sz w:val="24"/>
          <w:szCs w:val="24"/>
        </w:rPr>
        <w:t xml:space="preserve">Hardware: a laptop or lab workstation with 8 GB of RAM and 10 GB of free disk. No virtual machines are required.</w:t>
      </w:r>
    </w:p>
    <w:p>
      <w:pPr>
        <w:pStyle w:val="ListParagraph"/>
        <w:numPr>
          <w:ilvl w:val="0"/>
          <w:numId w:val="2"/>
        </w:numPr>
        <w:spacing w:after="60"/>
      </w:pPr>
      <w:r>
        <w:rPr>
          <w:rFonts w:ascii="Verdana" w:cs="Verdana" w:eastAsia="Verdana" w:hAnsi="Verdana"/>
          <w:sz w:val="24"/>
          <w:szCs w:val="24"/>
        </w:rPr>
        <w:t xml:space="preserve">Operating system: Windows, macOS or Linux. EvtxECmd and Timeline Explorer (week 6 onward) are Windows-only; macOS and Linux students run them in a Windows virtual machine or on a lab machine.</w:t>
      </w:r>
    </w:p>
    <w:p>
      <w:pPr>
        <w:pStyle w:val="ListParagraph"/>
        <w:numPr>
          <w:ilvl w:val="0"/>
          <w:numId w:val="2"/>
        </w:numPr>
        <w:spacing w:after="60"/>
      </w:pPr>
      <w:r>
        <w:rPr>
          <w:rFonts w:ascii="Verdana" w:cs="Verdana" w:eastAsia="Verdana" w:hAnsi="Verdana"/>
          <w:sz w:val="24"/>
          <w:szCs w:val="24"/>
        </w:rPr>
        <w:t xml:space="preserve">Browser: any current browser for the student portal. No plug-ins.</w:t>
      </w:r>
    </w:p>
    <w:p>
      <w:pPr>
        <w:pStyle w:val="ListParagraph"/>
        <w:numPr>
          <w:ilvl w:val="0"/>
          <w:numId w:val="2"/>
        </w:numPr>
        <w:spacing w:after="60"/>
      </w:pPr>
      <w:r>
        <w:rPr>
          <w:rFonts w:ascii="Verdana" w:cs="Verdana" w:eastAsia="Verdana" w:hAnsi="Verdana"/>
          <w:sz w:val="24"/>
          <w:szCs w:val="24"/>
        </w:rPr>
        <w:t xml:space="preserve">Software (all free): a JSON viewer or editor for EDR and SIEM exports; jq for filtering large exports on the command line; Excel or LibreOffice Calc for sorting and pivoting alert and proxy tables; Wireshark for packet captures; EvtxECmd and Timeline Explorer for Windows event logs; Thunderbird for the mailbox cases.</w:t>
      </w:r>
    </w:p>
    <w:p>
      <w:pPr>
        <w:pStyle w:val="ListParagraph"/>
        <w:numPr>
          <w:ilvl w:val="0"/>
          <w:numId w:val="2"/>
        </w:numPr>
        <w:spacing w:after="60"/>
      </w:pPr>
      <w:r>
        <w:rPr>
          <w:rFonts w:ascii="Verdana" w:cs="Verdana" w:eastAsia="Verdana" w:hAnsi="Verdana"/>
          <w:sz w:val="24"/>
          <w:szCs w:val="24"/>
        </w:rPr>
        <w:t xml:space="preserve">Instructor side: the Red Herrings desktop application on Windows or macOS to generate the weekly packages and run the portal. It needs no internet connection after installation.</w:t>
      </w:r>
    </w:p>
    <w:p>
      <w:pPr>
        <w:keepNext/>
        <w:spacing w:after="120" w:before="280"/>
      </w:pPr>
      <w:r>
        <w:rPr>
          <w:rFonts w:ascii="Verdana" w:cs="Verdana" w:eastAsia="Verdana" w:hAnsi="Verdana"/>
          <w:b/>
          <w:bCs/>
          <w:sz w:val="24"/>
          <w:szCs w:val="24"/>
        </w:rPr>
        <w:t xml:space="preserve">Grading: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100"/>
        <w:gridCol w:w="5760"/>
      </w:tblGrid>
      <w:tr>
        <w:trPr>
          <w:tblHeader/>
        </w:trPr>
        <w:tc>
          <w:tcPr>
            <w:tcW w:type="dxa" w:w="2500"/>
            <w:shd w:fill="E7E6E6" w:color="auto" w:val="clear"/>
            <w:tcMar>
              <w:top w:type="dxa" w:w="70"/>
              <w:left w:type="dxa" w:w="110"/>
              <w:bottom w:type="dxa" w:w="70"/>
              <w:right w:type="dxa" w:w="110"/>
            </w:tcMar>
            <w:vAlign w:val="top"/>
          </w:tcPr>
          <w:p>
            <w:pPr>
              <w:spacing w:after="40"/>
            </w:pPr>
            <w:r>
              <w:rPr>
                <w:rFonts w:ascii="Verdana" w:cs="Verdana" w:eastAsia="Verdana" w:hAnsi="Verdana"/>
                <w:b/>
                <w:bCs/>
                <w:sz w:val="20"/>
                <w:szCs w:val="20"/>
              </w:rPr>
              <w:t xml:space="preserve">Assessment Mechanism</w:t>
            </w:r>
          </w:p>
        </w:tc>
        <w:tc>
          <w:tcPr>
            <w:tcW w:type="dxa" w:w="1100"/>
            <w:shd w:fill="E7E6E6" w:color="auto" w:val="clear"/>
            <w:tcMar>
              <w:top w:type="dxa" w:w="70"/>
              <w:left w:type="dxa" w:w="110"/>
              <w:bottom w:type="dxa" w:w="70"/>
              <w:right w:type="dxa" w:w="110"/>
            </w:tcMar>
            <w:vAlign w:val="top"/>
          </w:tcPr>
          <w:p>
            <w:pPr>
              <w:spacing w:after="40"/>
            </w:pPr>
            <w:r>
              <w:rPr>
                <w:rFonts w:ascii="Verdana" w:cs="Verdana" w:eastAsia="Verdana" w:hAnsi="Verdana"/>
                <w:b/>
                <w:bCs/>
                <w:sz w:val="20"/>
                <w:szCs w:val="20"/>
              </w:rPr>
              <w:t xml:space="preserve">Percentage</w:t>
            </w:r>
          </w:p>
        </w:tc>
        <w:tc>
          <w:tcPr>
            <w:tcW w:type="dxa" w:w="5760"/>
            <w:shd w:fill="E7E6E6" w:color="auto" w:val="clear"/>
            <w:tcMar>
              <w:top w:type="dxa" w:w="70"/>
              <w:left w:type="dxa" w:w="110"/>
              <w:bottom w:type="dxa" w:w="70"/>
              <w:right w:type="dxa" w:w="110"/>
            </w:tcMar>
            <w:vAlign w:val="top"/>
          </w:tcPr>
          <w:p>
            <w:pPr>
              <w:spacing w:after="40"/>
            </w:pPr>
            <w:r>
              <w:rPr>
                <w:rFonts w:ascii="Verdana" w:cs="Verdana" w:eastAsia="Verdana" w:hAnsi="Verdana"/>
                <w:b/>
                <w:bCs/>
                <w:sz w:val="20"/>
                <w:szCs w:val="20"/>
              </w:rPr>
              <w:t xml:space="preserve">Criteria</w:t>
            </w:r>
          </w:p>
        </w:tc>
      </w:tr>
      <w:tr>
        <w:trPr>
          <w:cantSplit/>
        </w:trPr>
        <w:tc>
          <w:tcPr>
            <w:tcW w:type="dxa" w:w="2500"/>
            <w:tcMar>
              <w:top w:type="dxa" w:w="70"/>
              <w:left w:type="dxa" w:w="110"/>
              <w:bottom w:type="dxa" w:w="70"/>
              <w:right w:type="dxa" w:w="110"/>
            </w:tcMar>
            <w:vAlign w:val="top"/>
          </w:tcPr>
          <w:p>
            <w:pPr>
              <w:spacing w:after="40"/>
            </w:pPr>
            <w:r>
              <w:rPr>
                <w:rFonts w:ascii="Verdana" w:cs="Verdana" w:eastAsia="Verdana" w:hAnsi="Verdana"/>
                <w:b w:val="false"/>
                <w:bCs w:val="false"/>
                <w:sz w:val="20"/>
                <w:szCs w:val="20"/>
              </w:rPr>
              <w:t xml:space="preserve">Weekly labs (5)</w:t>
            </w:r>
          </w:p>
        </w:tc>
        <w:tc>
          <w:tcPr>
            <w:tcW w:type="dxa" w:w="1100"/>
            <w:tcMar>
              <w:top w:type="dxa" w:w="70"/>
              <w:left w:type="dxa" w:w="110"/>
              <w:bottom w:type="dxa" w:w="70"/>
              <w:right w:type="dxa" w:w="110"/>
            </w:tcMar>
            <w:vAlign w:val="top"/>
          </w:tcPr>
          <w:p>
            <w:pPr>
              <w:spacing w:after="40"/>
            </w:pPr>
            <w:r>
              <w:rPr>
                <w:rFonts w:ascii="Verdana" w:cs="Verdana" w:eastAsia="Verdana" w:hAnsi="Verdana"/>
                <w:b w:val="false"/>
                <w:bCs w:val="false"/>
                <w:sz w:val="20"/>
                <w:szCs w:val="20"/>
              </w:rPr>
              <w:t xml:space="preserve">50%</w:t>
            </w:r>
          </w:p>
        </w:tc>
        <w:tc>
          <w:tcPr>
            <w:tcW w:type="dxa" w:w="5760"/>
            <w:tcMar>
              <w:top w:type="dxa" w:w="70"/>
              <w:left w:type="dxa" w:w="110"/>
              <w:bottom w:type="dxa" w:w="70"/>
              <w:right w:type="dxa" w:w="110"/>
            </w:tcMar>
            <w:vAlign w:val="top"/>
          </w:tcPr>
          <w:p>
            <w:pPr>
              <w:spacing w:after="40"/>
            </w:pPr>
            <w:r>
              <w:rPr>
                <w:rFonts w:ascii="Verdana" w:cs="Verdana" w:eastAsia="Verdana" w:hAnsi="Verdana"/>
                <w:b w:val="false"/>
                <w:bCs w:val="false"/>
                <w:sz w:val="20"/>
                <w:szCs w:val="20"/>
              </w:rPr>
              <w:t xml:space="preserve">Best 4 of 5 count. Auto-graded on submission; each lab is 10 to 14 questions on that week's case.</w:t>
            </w:r>
          </w:p>
        </w:tc>
      </w:tr>
      <w:tr>
        <w:trPr>
          <w:cantSplit/>
        </w:trPr>
        <w:tc>
          <w:tcPr>
            <w:tcW w:type="dxa" w:w="2500"/>
            <w:tcMar>
              <w:top w:type="dxa" w:w="70"/>
              <w:left w:type="dxa" w:w="110"/>
              <w:bottom w:type="dxa" w:w="70"/>
              <w:right w:type="dxa" w:w="110"/>
            </w:tcMar>
            <w:vAlign w:val="top"/>
          </w:tcPr>
          <w:p>
            <w:pPr>
              <w:spacing w:after="40"/>
            </w:pPr>
            <w:r>
              <w:rPr>
                <w:rFonts w:ascii="Verdana" w:cs="Verdana" w:eastAsia="Verdana" w:hAnsi="Verdana"/>
                <w:b w:val="false"/>
                <w:bCs w:val="false"/>
                <w:sz w:val="20"/>
                <w:szCs w:val="20"/>
              </w:rPr>
              <w:t xml:space="preserve">Timed drills (2)</w:t>
            </w:r>
          </w:p>
        </w:tc>
        <w:tc>
          <w:tcPr>
            <w:tcW w:type="dxa" w:w="1100"/>
            <w:tcMar>
              <w:top w:type="dxa" w:w="70"/>
              <w:left w:type="dxa" w:w="110"/>
              <w:bottom w:type="dxa" w:w="70"/>
              <w:right w:type="dxa" w:w="110"/>
            </w:tcMar>
            <w:vAlign w:val="top"/>
          </w:tcPr>
          <w:p>
            <w:pPr>
              <w:spacing w:after="40"/>
            </w:pPr>
            <w:r>
              <w:rPr>
                <w:rFonts w:ascii="Verdana" w:cs="Verdana" w:eastAsia="Verdana" w:hAnsi="Verdana"/>
                <w:b w:val="false"/>
                <w:bCs w:val="false"/>
                <w:sz w:val="20"/>
                <w:szCs w:val="20"/>
              </w:rPr>
              <w:t xml:space="preserve">30%</w:t>
            </w:r>
          </w:p>
        </w:tc>
        <w:tc>
          <w:tcPr>
            <w:tcW w:type="dxa" w:w="5760"/>
            <w:tcMar>
              <w:top w:type="dxa" w:w="70"/>
              <w:left w:type="dxa" w:w="110"/>
              <w:bottom w:type="dxa" w:w="70"/>
              <w:right w:type="dxa" w:w="110"/>
            </w:tcMar>
            <w:vAlign w:val="top"/>
          </w:tcPr>
          <w:p>
            <w:pPr>
              <w:spacing w:after="40"/>
            </w:pPr>
            <w:r>
              <w:rPr>
                <w:rFonts w:ascii="Verdana" w:cs="Verdana" w:eastAsia="Verdana" w:hAnsi="Verdana"/>
                <w:b w:val="false"/>
                <w:bCs w:val="false"/>
                <w:sz w:val="20"/>
                <w:szCs w:val="20"/>
              </w:rPr>
              <w:t xml:space="preserve">Weeks 4 and 7. Two 45-minute exams in the portal, 15% each, each ending in a containment or revocation decision.</w:t>
            </w:r>
          </w:p>
        </w:tc>
      </w:tr>
      <w:tr>
        <w:trPr>
          <w:cantSplit/>
        </w:trPr>
        <w:tc>
          <w:tcPr>
            <w:tcW w:type="dxa" w:w="2500"/>
            <w:tcMar>
              <w:top w:type="dxa" w:w="70"/>
              <w:left w:type="dxa" w:w="110"/>
              <w:bottom w:type="dxa" w:w="70"/>
              <w:right w:type="dxa" w:w="110"/>
            </w:tcMar>
            <w:vAlign w:val="top"/>
          </w:tcPr>
          <w:p>
            <w:pPr>
              <w:spacing w:after="40"/>
            </w:pPr>
            <w:r>
              <w:rPr>
                <w:rFonts w:ascii="Verdana" w:cs="Verdana" w:eastAsia="Verdana" w:hAnsi="Verdana"/>
                <w:b w:val="false"/>
                <w:bCs w:val="false"/>
                <w:sz w:val="20"/>
                <w:szCs w:val="20"/>
              </w:rPr>
              <w:t xml:space="preserve">Final incident</w:t>
            </w:r>
          </w:p>
        </w:tc>
        <w:tc>
          <w:tcPr>
            <w:tcW w:type="dxa" w:w="1100"/>
            <w:tcMar>
              <w:top w:type="dxa" w:w="70"/>
              <w:left w:type="dxa" w:w="110"/>
              <w:bottom w:type="dxa" w:w="70"/>
              <w:right w:type="dxa" w:w="110"/>
            </w:tcMar>
            <w:vAlign w:val="top"/>
          </w:tcPr>
          <w:p>
            <w:pPr>
              <w:spacing w:after="40"/>
            </w:pPr>
            <w:r>
              <w:rPr>
                <w:rFonts w:ascii="Verdana" w:cs="Verdana" w:eastAsia="Verdana" w:hAnsi="Verdana"/>
                <w:b w:val="false"/>
                <w:bCs w:val="false"/>
                <w:sz w:val="20"/>
                <w:szCs w:val="20"/>
              </w:rPr>
              <w:t xml:space="preserve">20%</w:t>
            </w:r>
          </w:p>
        </w:tc>
        <w:tc>
          <w:tcPr>
            <w:tcW w:type="dxa" w:w="5760"/>
            <w:tcMar>
              <w:top w:type="dxa" w:w="70"/>
              <w:left w:type="dxa" w:w="110"/>
              <w:bottom w:type="dxa" w:w="70"/>
              <w:right w:type="dxa" w:w="110"/>
            </w:tcMar>
            <w:vAlign w:val="top"/>
          </w:tcPr>
          <w:p>
            <w:pPr>
              <w:spacing w:after="40"/>
            </w:pPr>
            <w:r>
              <w:rPr>
                <w:rFonts w:ascii="Verdana" w:cs="Verdana" w:eastAsia="Verdana" w:hAnsi="Verdana"/>
                <w:b w:val="false"/>
                <w:bCs w:val="false"/>
                <w:sz w:val="20"/>
                <w:szCs w:val="20"/>
              </w:rPr>
              <w:t xml:space="preserve">Week 8. A 90-minute timed exam on a live ransomware chain, plus a breach report due one week later.</w:t>
            </w:r>
          </w:p>
        </w:tc>
      </w:tr>
      <w:tr>
        <w:trPr>
          <w:cantSplit/>
        </w:trPr>
        <w:tc>
          <w:tcPr>
            <w:tcW w:type="dxa" w:w="2500"/>
            <w:tcMar>
              <w:top w:type="dxa" w:w="70"/>
              <w:left w:type="dxa" w:w="110"/>
              <w:bottom w:type="dxa" w:w="70"/>
              <w:right w:type="dxa" w:w="110"/>
            </w:tcMar>
            <w:vAlign w:val="top"/>
          </w:tcPr>
          <w:p>
            <w:pPr>
              <w:spacing w:after="40"/>
            </w:pPr>
            <w:r>
              <w:rPr>
                <w:rFonts w:ascii="Verdana" w:cs="Verdana" w:eastAsia="Verdana" w:hAnsi="Verdana"/>
                <w:b w:val="false"/>
                <w:bCs w:val="false"/>
                <w:sz w:val="20"/>
                <w:szCs w:val="20"/>
              </w:rPr>
              <w:t xml:space="preserve">Total:</w:t>
            </w:r>
          </w:p>
        </w:tc>
        <w:tc>
          <w:tcPr>
            <w:tcW w:type="dxa" w:w="1100"/>
            <w:tcMar>
              <w:top w:type="dxa" w:w="70"/>
              <w:left w:type="dxa" w:w="110"/>
              <w:bottom w:type="dxa" w:w="70"/>
              <w:right w:type="dxa" w:w="110"/>
            </w:tcMar>
            <w:vAlign w:val="top"/>
          </w:tcPr>
          <w:p>
            <w:pPr>
              <w:spacing w:after="40"/>
            </w:pPr>
            <w:r>
              <w:rPr>
                <w:rFonts w:ascii="Verdana" w:cs="Verdana" w:eastAsia="Verdana" w:hAnsi="Verdana"/>
                <w:b w:val="false"/>
                <w:bCs w:val="false"/>
                <w:sz w:val="20"/>
                <w:szCs w:val="20"/>
              </w:rPr>
              <w:t xml:space="preserve">100%</w:t>
            </w:r>
          </w:p>
        </w:tc>
        <w:tc>
          <w:tcPr>
            <w:tcW w:type="dxa" w:w="5760"/>
            <w:tcMar>
              <w:top w:type="dxa" w:w="70"/>
              <w:left w:type="dxa" w:w="110"/>
              <w:bottom w:type="dxa" w:w="70"/>
              <w:right w:type="dxa" w:w="110"/>
            </w:tcMar>
            <w:vAlign w:val="top"/>
          </w:tcPr>
          <w:p>
            <w:pPr>
              <w:spacing w:after="40"/>
            </w:pPr>
            <w:r>
              <w:rPr>
                <w:rFonts w:ascii="Verdana" w:cs="Verdana" w:eastAsia="Verdana" w:hAnsi="Verdana"/>
                <w:b w:val="false"/>
                <w:bCs w:val="false"/>
                <w:sz w:val="20"/>
                <w:szCs w:val="20"/>
              </w:rPr>
              <w:t xml:space="preserve"/>
            </w:r>
          </w:p>
        </w:tc>
      </w:tr>
    </w:tbl>
    <w:p>
      <w:pPr>
        <w:spacing w:before="160"/>
      </w:pPr>
      <w:r>
        <w:rPr>
          <w:rFonts w:ascii="Verdana" w:cs="Verdana" w:eastAsia="Verdana" w:hAnsi="Verdana"/>
          <w:sz w:val="24"/>
          <w:szCs w:val="24"/>
        </w:rPr>
        <w:t xml:space="preserve">Grading scale: A 90 to 100; B 80 to 89; C 70 to 79; D 60 to 69; F below 60.</w:t>
      </w:r>
    </w:p>
    <w:p>
      <w:pPr>
        <w:keepNext/>
        <w:spacing w:after="100" w:before="160"/>
      </w:pPr>
      <w:r>
        <w:rPr>
          <w:rFonts w:ascii="Verdana" w:cs="Verdana" w:eastAsia="Verdana" w:hAnsi="Verdana"/>
          <w:b/>
          <w:bCs/>
          <w:sz w:val="24"/>
          <w:szCs w:val="24"/>
        </w:rPr>
        <w:t xml:space="preserve">Breach report rubric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000"/>
        <w:gridCol w:w="6460"/>
      </w:tblGrid>
      <w:tr>
        <w:trPr>
          <w:tblHeader/>
        </w:trPr>
        <w:tc>
          <w:tcPr>
            <w:tcW w:type="dxa" w:w="1900"/>
            <w:shd w:fill="E7E6E6" w:color="auto" w:val="clear"/>
            <w:tcMar>
              <w:top w:type="dxa" w:w="70"/>
              <w:left w:type="dxa" w:w="110"/>
              <w:bottom w:type="dxa" w:w="70"/>
              <w:right w:type="dxa" w:w="110"/>
            </w:tcMar>
            <w:vAlign w:val="top"/>
          </w:tcPr>
          <w:p>
            <w:pPr>
              <w:spacing w:after="40"/>
            </w:pPr>
            <w:r>
              <w:rPr>
                <w:rFonts w:ascii="Verdana" w:cs="Verdana" w:eastAsia="Verdana" w:hAnsi="Verdana"/>
                <w:b/>
                <w:bCs/>
                <w:sz w:val="20"/>
                <w:szCs w:val="20"/>
              </w:rPr>
              <w:t xml:space="preserve">Criterion</w:t>
            </w:r>
          </w:p>
        </w:tc>
        <w:tc>
          <w:tcPr>
            <w:tcW w:type="dxa" w:w="1000"/>
            <w:shd w:fill="E7E6E6" w:color="auto" w:val="clear"/>
            <w:tcMar>
              <w:top w:type="dxa" w:w="70"/>
              <w:left w:type="dxa" w:w="110"/>
              <w:bottom w:type="dxa" w:w="70"/>
              <w:right w:type="dxa" w:w="110"/>
            </w:tcMar>
            <w:vAlign w:val="top"/>
          </w:tcPr>
          <w:p>
            <w:pPr>
              <w:spacing w:after="40"/>
            </w:pPr>
            <w:r>
              <w:rPr>
                <w:rFonts w:ascii="Verdana" w:cs="Verdana" w:eastAsia="Verdana" w:hAnsi="Verdana"/>
                <w:b/>
                <w:bCs/>
                <w:sz w:val="20"/>
                <w:szCs w:val="20"/>
              </w:rPr>
              <w:t xml:space="preserve">Weight</w:t>
            </w:r>
          </w:p>
        </w:tc>
        <w:tc>
          <w:tcPr>
            <w:tcW w:type="dxa" w:w="6460"/>
            <w:shd w:fill="E7E6E6" w:color="auto" w:val="clear"/>
            <w:tcMar>
              <w:top w:type="dxa" w:w="70"/>
              <w:left w:type="dxa" w:w="110"/>
              <w:bottom w:type="dxa" w:w="70"/>
              <w:right w:type="dxa" w:w="110"/>
            </w:tcMar>
            <w:vAlign w:val="top"/>
          </w:tcPr>
          <w:p>
            <w:pPr>
              <w:spacing w:after="40"/>
            </w:pPr>
            <w:r>
              <w:rPr>
                <w:rFonts w:ascii="Verdana" w:cs="Verdana" w:eastAsia="Verdana" w:hAnsi="Verdana"/>
                <w:b/>
                <w:bCs/>
                <w:sz w:val="20"/>
                <w:szCs w:val="20"/>
              </w:rPr>
              <w:t xml:space="preserve">Full credit looks like</w:t>
            </w:r>
          </w:p>
        </w:tc>
      </w:tr>
      <w:tr>
        <w:trPr>
          <w:cantSplit/>
        </w:trPr>
        <w:tc>
          <w:tcPr>
            <w:tcW w:type="dxa" w:w="1900"/>
            <w:tcMar>
              <w:top w:type="dxa" w:w="70"/>
              <w:left w:type="dxa" w:w="110"/>
              <w:bottom w:type="dxa" w:w="70"/>
              <w:right w:type="dxa" w:w="110"/>
            </w:tcMar>
            <w:vAlign w:val="top"/>
          </w:tcPr>
          <w:p>
            <w:pPr>
              <w:spacing w:after="40"/>
            </w:pPr>
            <w:r>
              <w:rPr>
                <w:rFonts w:ascii="Verdana" w:cs="Verdana" w:eastAsia="Verdana" w:hAnsi="Verdana"/>
                <w:b w:val="false"/>
                <w:bCs w:val="false"/>
                <w:sz w:val="20"/>
                <w:szCs w:val="20"/>
              </w:rPr>
              <w:t xml:space="preserve">Scope</w:t>
            </w:r>
          </w:p>
        </w:tc>
        <w:tc>
          <w:tcPr>
            <w:tcW w:type="dxa" w:w="1000"/>
            <w:tcMar>
              <w:top w:type="dxa" w:w="70"/>
              <w:left w:type="dxa" w:w="110"/>
              <w:bottom w:type="dxa" w:w="70"/>
              <w:right w:type="dxa" w:w="110"/>
            </w:tcMar>
            <w:vAlign w:val="top"/>
          </w:tcPr>
          <w:p>
            <w:pPr>
              <w:spacing w:after="40"/>
            </w:pPr>
            <w:r>
              <w:rPr>
                <w:rFonts w:ascii="Verdana" w:cs="Verdana" w:eastAsia="Verdana" w:hAnsi="Verdana"/>
                <w:b w:val="false"/>
                <w:bCs w:val="false"/>
                <w:sz w:val="20"/>
                <w:szCs w:val="20"/>
              </w:rPr>
              <w:t xml:space="preserve">30%</w:t>
            </w:r>
          </w:p>
        </w:tc>
        <w:tc>
          <w:tcPr>
            <w:tcW w:type="dxa" w:w="6460"/>
            <w:tcMar>
              <w:top w:type="dxa" w:w="70"/>
              <w:left w:type="dxa" w:w="110"/>
              <w:bottom w:type="dxa" w:w="70"/>
              <w:right w:type="dxa" w:w="110"/>
            </w:tcMar>
            <w:vAlign w:val="top"/>
          </w:tcPr>
          <w:p>
            <w:pPr>
              <w:spacing w:after="40"/>
            </w:pPr>
            <w:r>
              <w:rPr>
                <w:rFonts w:ascii="Verdana" w:cs="Verdana" w:eastAsia="Verdana" w:hAnsi="Verdana"/>
                <w:b w:val="false"/>
                <w:bCs w:val="false"/>
                <w:sz w:val="20"/>
                <w:szCs w:val="20"/>
              </w:rPr>
              <w:t xml:space="preserve">Initial access, every host and account reached, and the data touched, each with the evidence that proves it.</w:t>
            </w:r>
          </w:p>
        </w:tc>
      </w:tr>
      <w:tr>
        <w:trPr>
          <w:cantSplit/>
        </w:trPr>
        <w:tc>
          <w:tcPr>
            <w:tcW w:type="dxa" w:w="1900"/>
            <w:tcMar>
              <w:top w:type="dxa" w:w="70"/>
              <w:left w:type="dxa" w:w="110"/>
              <w:bottom w:type="dxa" w:w="70"/>
              <w:right w:type="dxa" w:w="110"/>
            </w:tcMar>
            <w:vAlign w:val="top"/>
          </w:tcPr>
          <w:p>
            <w:pPr>
              <w:spacing w:after="40"/>
            </w:pPr>
            <w:r>
              <w:rPr>
                <w:rFonts w:ascii="Verdana" w:cs="Verdana" w:eastAsia="Verdana" w:hAnsi="Verdana"/>
                <w:b w:val="false"/>
                <w:bCs w:val="false"/>
                <w:sz w:val="20"/>
                <w:szCs w:val="20"/>
              </w:rPr>
              <w:t xml:space="preserve">Decisions</w:t>
            </w:r>
          </w:p>
        </w:tc>
        <w:tc>
          <w:tcPr>
            <w:tcW w:type="dxa" w:w="1000"/>
            <w:tcMar>
              <w:top w:type="dxa" w:w="70"/>
              <w:left w:type="dxa" w:w="110"/>
              <w:bottom w:type="dxa" w:w="70"/>
              <w:right w:type="dxa" w:w="110"/>
            </w:tcMar>
            <w:vAlign w:val="top"/>
          </w:tcPr>
          <w:p>
            <w:pPr>
              <w:spacing w:after="40"/>
            </w:pPr>
            <w:r>
              <w:rPr>
                <w:rFonts w:ascii="Verdana" w:cs="Verdana" w:eastAsia="Verdana" w:hAnsi="Verdana"/>
                <w:b w:val="false"/>
                <w:bCs w:val="false"/>
                <w:sz w:val="20"/>
                <w:szCs w:val="20"/>
              </w:rPr>
              <w:t xml:space="preserve">30%</w:t>
            </w:r>
          </w:p>
        </w:tc>
        <w:tc>
          <w:tcPr>
            <w:tcW w:type="dxa" w:w="6460"/>
            <w:tcMar>
              <w:top w:type="dxa" w:w="70"/>
              <w:left w:type="dxa" w:w="110"/>
              <w:bottom w:type="dxa" w:w="70"/>
              <w:right w:type="dxa" w:w="110"/>
            </w:tcMar>
            <w:vAlign w:val="top"/>
          </w:tcPr>
          <w:p>
            <w:pPr>
              <w:spacing w:after="40"/>
            </w:pPr>
            <w:r>
              <w:rPr>
                <w:rFonts w:ascii="Verdana" w:cs="Verdana" w:eastAsia="Verdana" w:hAnsi="Verdana"/>
                <w:b w:val="false"/>
                <w:bCs w:val="false"/>
                <w:sz w:val="20"/>
                <w:szCs w:val="20"/>
              </w:rPr>
              <w:t xml:space="preserve">Containment, eradication and recovery actions are specific, ordered, and justified against the evidence.</w:t>
            </w:r>
          </w:p>
        </w:tc>
      </w:tr>
      <w:tr>
        <w:trPr>
          <w:cantSplit/>
        </w:trPr>
        <w:tc>
          <w:tcPr>
            <w:tcW w:type="dxa" w:w="1900"/>
            <w:tcMar>
              <w:top w:type="dxa" w:w="70"/>
              <w:left w:type="dxa" w:w="110"/>
              <w:bottom w:type="dxa" w:w="70"/>
              <w:right w:type="dxa" w:w="110"/>
            </w:tcMar>
            <w:vAlign w:val="top"/>
          </w:tcPr>
          <w:p>
            <w:pPr>
              <w:spacing w:after="40"/>
            </w:pPr>
            <w:r>
              <w:rPr>
                <w:rFonts w:ascii="Verdana" w:cs="Verdana" w:eastAsia="Verdana" w:hAnsi="Verdana"/>
                <w:b w:val="false"/>
                <w:bCs w:val="false"/>
                <w:sz w:val="20"/>
                <w:szCs w:val="20"/>
              </w:rPr>
              <w:t xml:space="preserve">Indicators</w:t>
            </w:r>
          </w:p>
        </w:tc>
        <w:tc>
          <w:tcPr>
            <w:tcW w:type="dxa" w:w="1000"/>
            <w:tcMar>
              <w:top w:type="dxa" w:w="70"/>
              <w:left w:type="dxa" w:w="110"/>
              <w:bottom w:type="dxa" w:w="70"/>
              <w:right w:type="dxa" w:w="110"/>
            </w:tcMar>
            <w:vAlign w:val="top"/>
          </w:tcPr>
          <w:p>
            <w:pPr>
              <w:spacing w:after="40"/>
            </w:pPr>
            <w:r>
              <w:rPr>
                <w:rFonts w:ascii="Verdana" w:cs="Verdana" w:eastAsia="Verdana" w:hAnsi="Verdana"/>
                <w:b w:val="false"/>
                <w:bCs w:val="false"/>
                <w:sz w:val="20"/>
                <w:szCs w:val="20"/>
              </w:rPr>
              <w:t xml:space="preserve">20%</w:t>
            </w:r>
          </w:p>
        </w:tc>
        <w:tc>
          <w:tcPr>
            <w:tcW w:type="dxa" w:w="6460"/>
            <w:tcMar>
              <w:top w:type="dxa" w:w="70"/>
              <w:left w:type="dxa" w:w="110"/>
              <w:bottom w:type="dxa" w:w="70"/>
              <w:right w:type="dxa" w:w="110"/>
            </w:tcMar>
            <w:vAlign w:val="top"/>
          </w:tcPr>
          <w:p>
            <w:pPr>
              <w:spacing w:after="40"/>
            </w:pPr>
            <w:r>
              <w:rPr>
                <w:rFonts w:ascii="Verdana" w:cs="Verdana" w:eastAsia="Verdana" w:hAnsi="Verdana"/>
                <w:b w:val="false"/>
                <w:bCs w:val="false"/>
                <w:sz w:val="20"/>
                <w:szCs w:val="20"/>
              </w:rPr>
              <w:t xml:space="preserve">A usable indicator list: hashes, domains, IPs, accounts, with where each was seen.</w:t>
            </w:r>
          </w:p>
        </w:tc>
      </w:tr>
      <w:tr>
        <w:trPr>
          <w:cantSplit/>
        </w:trPr>
        <w:tc>
          <w:tcPr>
            <w:tcW w:type="dxa" w:w="1900"/>
            <w:tcMar>
              <w:top w:type="dxa" w:w="70"/>
              <w:left w:type="dxa" w:w="110"/>
              <w:bottom w:type="dxa" w:w="70"/>
              <w:right w:type="dxa" w:w="110"/>
            </w:tcMar>
            <w:vAlign w:val="top"/>
          </w:tcPr>
          <w:p>
            <w:pPr>
              <w:spacing w:after="40"/>
            </w:pPr>
            <w:r>
              <w:rPr>
                <w:rFonts w:ascii="Verdana" w:cs="Verdana" w:eastAsia="Verdana" w:hAnsi="Verdana"/>
                <w:b w:val="false"/>
                <w:bCs w:val="false"/>
                <w:sz w:val="20"/>
                <w:szCs w:val="20"/>
              </w:rPr>
              <w:t xml:space="preserve">Timeline</w:t>
            </w:r>
          </w:p>
        </w:tc>
        <w:tc>
          <w:tcPr>
            <w:tcW w:type="dxa" w:w="1000"/>
            <w:tcMar>
              <w:top w:type="dxa" w:w="70"/>
              <w:left w:type="dxa" w:w="110"/>
              <w:bottom w:type="dxa" w:w="70"/>
              <w:right w:type="dxa" w:w="110"/>
            </w:tcMar>
            <w:vAlign w:val="top"/>
          </w:tcPr>
          <w:p>
            <w:pPr>
              <w:spacing w:after="40"/>
            </w:pPr>
            <w:r>
              <w:rPr>
                <w:rFonts w:ascii="Verdana" w:cs="Verdana" w:eastAsia="Verdana" w:hAnsi="Verdana"/>
                <w:b w:val="false"/>
                <w:bCs w:val="false"/>
                <w:sz w:val="20"/>
                <w:szCs w:val="20"/>
              </w:rPr>
              <w:t xml:space="preserve">10%</w:t>
            </w:r>
          </w:p>
        </w:tc>
        <w:tc>
          <w:tcPr>
            <w:tcW w:type="dxa" w:w="6460"/>
            <w:tcMar>
              <w:top w:type="dxa" w:w="70"/>
              <w:left w:type="dxa" w:w="110"/>
              <w:bottom w:type="dxa" w:w="70"/>
              <w:right w:type="dxa" w:w="110"/>
            </w:tcMar>
            <w:vAlign w:val="top"/>
          </w:tcPr>
          <w:p>
            <w:pPr>
              <w:spacing w:after="40"/>
            </w:pPr>
            <w:r>
              <w:rPr>
                <w:rFonts w:ascii="Verdana" w:cs="Verdana" w:eastAsia="Verdana" w:hAnsi="Verdana"/>
                <w:b w:val="false"/>
                <w:bCs w:val="false"/>
                <w:sz w:val="20"/>
                <w:szCs w:val="20"/>
              </w:rPr>
              <w:t xml:space="preserve">One normalised timezone, in order, mapped to ATT&amp;CK and NIST phases.</w:t>
            </w:r>
          </w:p>
        </w:tc>
      </w:tr>
      <w:tr>
        <w:trPr>
          <w:cantSplit/>
        </w:trPr>
        <w:tc>
          <w:tcPr>
            <w:tcW w:type="dxa" w:w="1900"/>
            <w:tcMar>
              <w:top w:type="dxa" w:w="70"/>
              <w:left w:type="dxa" w:w="110"/>
              <w:bottom w:type="dxa" w:w="70"/>
              <w:right w:type="dxa" w:w="110"/>
            </w:tcMar>
            <w:vAlign w:val="top"/>
          </w:tcPr>
          <w:p>
            <w:pPr>
              <w:spacing w:after="40"/>
            </w:pPr>
            <w:r>
              <w:rPr>
                <w:rFonts w:ascii="Verdana" w:cs="Verdana" w:eastAsia="Verdana" w:hAnsi="Verdana"/>
                <w:b w:val="false"/>
                <w:bCs w:val="false"/>
                <w:sz w:val="20"/>
                <w:szCs w:val="20"/>
              </w:rPr>
              <w:t xml:space="preserve">Writing</w:t>
            </w:r>
          </w:p>
        </w:tc>
        <w:tc>
          <w:tcPr>
            <w:tcW w:type="dxa" w:w="1000"/>
            <w:tcMar>
              <w:top w:type="dxa" w:w="70"/>
              <w:left w:type="dxa" w:w="110"/>
              <w:bottom w:type="dxa" w:w="70"/>
              <w:right w:type="dxa" w:w="110"/>
            </w:tcMar>
            <w:vAlign w:val="top"/>
          </w:tcPr>
          <w:p>
            <w:pPr>
              <w:spacing w:after="40"/>
            </w:pPr>
            <w:r>
              <w:rPr>
                <w:rFonts w:ascii="Verdana" w:cs="Verdana" w:eastAsia="Verdana" w:hAnsi="Verdana"/>
                <w:b w:val="false"/>
                <w:bCs w:val="false"/>
                <w:sz w:val="20"/>
                <w:szCs w:val="20"/>
              </w:rPr>
              <w:t xml:space="preserve">10%</w:t>
            </w:r>
          </w:p>
        </w:tc>
        <w:tc>
          <w:tcPr>
            <w:tcW w:type="dxa" w:w="6460"/>
            <w:tcMar>
              <w:top w:type="dxa" w:w="70"/>
              <w:left w:type="dxa" w:w="110"/>
              <w:bottom w:type="dxa" w:w="70"/>
              <w:right w:type="dxa" w:w="110"/>
            </w:tcMar>
            <w:vAlign w:val="top"/>
          </w:tcPr>
          <w:p>
            <w:pPr>
              <w:spacing w:after="40"/>
            </w:pPr>
            <w:r>
              <w:rPr>
                <w:rFonts w:ascii="Verdana" w:cs="Verdana" w:eastAsia="Verdana" w:hAnsi="Verdana"/>
                <w:b w:val="false"/>
                <w:bCs w:val="false"/>
                <w:sz w:val="20"/>
                <w:szCs w:val="20"/>
              </w:rPr>
              <w:t xml:space="preserve">A manager can act on page one; detail follows; no speculation presented as fact.</w:t>
            </w:r>
          </w:p>
        </w:tc>
      </w:tr>
    </w:tbl>
    <w:p>
      <w:pPr>
        <w:keepNext/>
        <w:spacing w:after="100" w:before="200"/>
      </w:pPr>
      <w:r>
        <w:rPr>
          <w:rFonts w:ascii="Verdana" w:cs="Verdana" w:eastAsia="Verdana" w:hAnsi="Verdana"/>
          <w:b/>
          <w:bCs/>
          <w:sz w:val="24"/>
          <w:szCs w:val="24"/>
        </w:rPr>
        <w:t xml:space="preserve">Course policies</w:t>
      </w:r>
    </w:p>
    <w:p>
      <w:pPr>
        <w:spacing w:after="120"/>
      </w:pPr>
      <w:r>
        <w:rPr>
          <w:rFonts w:ascii="Verdana" w:cs="Verdana" w:eastAsia="Verdana" w:hAnsi="Verdana"/>
          <w:b/>
          <w:bCs/>
          <w:sz w:val="24"/>
          <w:szCs w:val="24"/>
        </w:rPr>
        <w:t xml:space="preserve">Collaboration. </w:t>
      </w:r>
      <w:r>
        <w:rPr>
          <w:rFonts w:ascii="Verdana" w:cs="Verdana" w:eastAsia="Verdana" w:hAnsi="Verdana"/>
          <w:sz w:val="24"/>
          <w:szCs w:val="24"/>
        </w:rPr>
        <w:t xml:space="preserve">Talk to each other about tools, technique and what an alert means. Do not share answers. Every student has different evidence and a different key, and a submission that matches a classmate's variant instead of your own is flagged automatically and treated as academic misconduct.</w:t>
      </w:r>
    </w:p>
    <w:p>
      <w:pPr>
        <w:spacing w:after="120"/>
      </w:pPr>
      <w:r>
        <w:rPr>
          <w:rFonts w:ascii="Verdana" w:cs="Verdana" w:eastAsia="Verdana" w:hAnsi="Verdana"/>
          <w:b/>
          <w:bCs/>
          <w:sz w:val="24"/>
          <w:szCs w:val="24"/>
        </w:rPr>
        <w:t xml:space="preserve">Late work. </w:t>
      </w:r>
      <w:r>
        <w:rPr>
          <w:rFonts w:ascii="Verdana" w:cs="Verdana" w:eastAsia="Verdana" w:hAnsi="Verdana"/>
          <w:sz w:val="24"/>
          <w:szCs w:val="24"/>
        </w:rPr>
        <w:t xml:space="preserve">Labs are due at the end of the week they are set. A late lab loses 10% per day for three days and is not accepted after that. The lowest lab score is dropped, which covers a short illness without paperwork.</w:t>
      </w:r>
    </w:p>
    <w:p>
      <w:pPr>
        <w:spacing w:after="120"/>
      </w:pPr>
      <w:r>
        <w:rPr>
          <w:rFonts w:ascii="Verdana" w:cs="Verdana" w:eastAsia="Verdana" w:hAnsi="Verdana"/>
          <w:b/>
          <w:bCs/>
          <w:sz w:val="24"/>
          <w:szCs w:val="24"/>
        </w:rPr>
        <w:t xml:space="preserve">Timed drills and the final. </w:t>
      </w:r>
      <w:r>
        <w:rPr>
          <w:rFonts w:ascii="Verdana" w:cs="Verdana" w:eastAsia="Verdana" w:hAnsi="Verdana"/>
          <w:sz w:val="24"/>
          <w:szCs w:val="24"/>
        </w:rPr>
        <w:t xml:space="preserve">The two drills and the final run in the student portal on a fixed clock with shuffled question order. Tab switches, full-screen exits and pastes are logged. Responders work on a clock; so does this course. Have your tools open before the session starts.</w:t>
      </w:r>
    </w:p>
    <w:p>
      <w:pPr>
        <w:spacing w:after="120"/>
      </w:pPr>
      <w:r>
        <w:rPr>
          <w:rFonts w:ascii="Verdana" w:cs="Verdana" w:eastAsia="Verdana" w:hAnsi="Verdana"/>
          <w:b/>
          <w:bCs/>
          <w:sz w:val="24"/>
          <w:szCs w:val="24"/>
        </w:rPr>
        <w:t xml:space="preserve">Resubmission. </w:t>
      </w:r>
      <w:r>
        <w:rPr>
          <w:rFonts w:ascii="Verdana" w:cs="Verdana" w:eastAsia="Verdana" w:hAnsi="Verdana"/>
          <w:sz w:val="24"/>
          <w:szCs w:val="24"/>
        </w:rPr>
        <w:t xml:space="preserve">One practice lab per term may be resubmitted within a week of feedback for up to 80% of full credit. Drills and the final cannot be resubmitted.</w:t>
      </w:r>
    </w:p>
    <w:p>
      <w:pPr>
        <w:spacing w:after="120"/>
      </w:pPr>
      <w:r>
        <w:rPr>
          <w:rFonts w:ascii="Verdana" w:cs="Verdana" w:eastAsia="Verdana" w:hAnsi="Verdana"/>
          <w:b/>
          <w:bCs/>
          <w:sz w:val="24"/>
          <w:szCs w:val="24"/>
        </w:rPr>
        <w:t xml:space="preserve">Evidence handling. </w:t>
      </w:r>
      <w:r>
        <w:rPr>
          <w:rFonts w:ascii="Verdana" w:cs="Verdana" w:eastAsia="Verdana" w:hAnsi="Verdana"/>
          <w:sz w:val="24"/>
          <w:szCs w:val="24"/>
        </w:rPr>
        <w:t xml:space="preserve">The evidence is synthetic. Treat it as production data anyway: do not post it, do not run anything from it, and record what you looked at and when. The breach report is graded partly on that record.</w:t>
      </w:r>
    </w:p>
    <w:p>
      <w:pPr>
        <w:spacing w:after="120"/>
      </w:pPr>
      <w:r>
        <w:rPr>
          <w:rFonts w:ascii="Verdana" w:cs="Verdana" w:eastAsia="Verdana" w:hAnsi="Verdana"/>
          <w:b/>
          <w:bCs/>
          <w:sz w:val="24"/>
          <w:szCs w:val="24"/>
        </w:rPr>
        <w:t xml:space="preserve">Accommodations. </w:t>
      </w:r>
      <w:r>
        <w:rPr>
          <w:rFonts w:ascii="Verdana" w:cs="Verdana" w:eastAsia="Verdana" w:hAnsi="Verdana"/>
          <w:sz w:val="24"/>
          <w:szCs w:val="24"/>
        </w:rPr>
        <w:t xml:space="preserve">[Insert the institution's disability accommodation and extended-time statement. The portal supports per-student time extensions on the timed assessments.]</w:t>
      </w:r>
    </w:p>
    <w:p>
      <w:pPr>
        <w:spacing w:after="120"/>
      </w:pPr>
      <w:r>
        <w:rPr>
          <w:rFonts w:ascii="Verdana" w:cs="Verdana" w:eastAsia="Verdana" w:hAnsi="Verdana"/>
          <w:b/>
          <w:bCs/>
          <w:sz w:val="24"/>
          <w:szCs w:val="24"/>
        </w:rPr>
        <w:t xml:space="preserve">Academic integrity. </w:t>
      </w:r>
      <w:r>
        <w:rPr>
          <w:rFonts w:ascii="Verdana" w:cs="Verdana" w:eastAsia="Verdana" w:hAnsi="Verdana"/>
          <w:sz w:val="24"/>
          <w:szCs w:val="24"/>
        </w:rPr>
        <w:t xml:space="preserve">[Insert the institution's academic integrity statement.]</w:t>
      </w:r>
    </w:p>
    <w:p>
      <w:pPr>
        <w:keepNext/>
        <w:spacing w:after="120" w:before="280"/>
      </w:pPr>
      <w:r>
        <w:rPr>
          <w:rFonts w:ascii="Verdana" w:cs="Verdana" w:eastAsia="Verdana" w:hAnsi="Verdana"/>
          <w:b/>
          <w:bCs/>
          <w:sz w:val="24"/>
          <w:szCs w:val="24"/>
        </w:rPr>
        <w:t xml:space="preserve">Course Schedule:</w:t>
      </w:r>
    </w:p>
    <w:p>
      <w:pPr>
        <w:spacing w:after="160"/>
      </w:pPr>
      <w:r>
        <w:rPr>
          <w:rFonts w:ascii="Verdana" w:cs="Verdana" w:eastAsia="Verdana" w:hAnsi="Verdana"/>
          <w:sz w:val="24"/>
          <w:szCs w:val="24"/>
        </w:rPr>
        <w:t xml:space="preserve">One case a week. Each module below is one unit in the course pack. Links to the individual modules go here once they are uploaded to CLARK; until then, every week's case is linked from https://redherrings.app/courses.html and described in the case catalog at https://redherrings.app/cases.html.</w:t>
      </w:r>
    </w:p>
    <w:p>
      <w:pPr>
        <w:keepNext/>
        <w:spacing w:after="80" w:before="240"/>
      </w:pPr>
      <w:r>
        <w:rPr>
          <w:rFonts w:ascii="Verdana" w:cs="Verdana" w:eastAsia="Verdana" w:hAnsi="Verdana"/>
          <w:b/>
          <w:bCs/>
          <w:sz w:val="24"/>
          <w:szCs w:val="24"/>
        </w:rPr>
        <w:t xml:space="preserve">Module 1: Reading detections</w:t>
      </w:r>
    </w:p>
    <w:p>
      <w:pPr>
        <w:keepNext/>
        <w:spacing w:after="160"/>
      </w:pPr>
      <w:r>
        <w:rPr>
          <w:rFonts w:ascii="Verdana" w:cs="Verdana" w:eastAsia="Verdana" w:hAnsi="Verdana"/>
          <w:sz w:val="24"/>
          <w:szCs w:val="24"/>
        </w:rPr>
        <w:t xml:space="preserve">Three weeks, three sources: an EDR feed, a SIEM queue and an hour of web traffic. Each is a short "First Look" case on a single export, and each ends with an ATT&amp;CK technique on every finding.</w:t>
      </w:r>
    </w:p>
    <w:p>
      <w:pPr>
        <w:keepNext/>
        <w:spacing w:after="120"/>
      </w:pPr>
      <w:r>
        <w:rPr>
          <w:rFonts w:ascii="Verdana" w:cs="Verdana" w:eastAsia="Verdana" w:hAnsi="Verdana"/>
          <w:b/>
          <w:bCs/>
          <w:sz w:val="20"/>
          <w:szCs w:val="20"/>
        </w:rPr>
        <w:t xml:space="preserve">Module link: </w:t>
      </w:r>
      <w:r>
        <w:rPr>
          <w:rFonts w:ascii="Verdana" w:cs="Verdana" w:eastAsia="Verdana" w:hAnsi="Verdana"/>
          <w:sz w:val="20"/>
          <w:szCs w:val="20"/>
        </w:rPr>
        <w:t xml:space="preserve">[CLARK module link]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760"/>
        <w:gridCol w:w="2900"/>
      </w:tblGrid>
      <w:tr>
        <w:trPr>
          <w:tblHeader/>
        </w:trPr>
        <w:tc>
          <w:tcPr>
            <w:tcW w:type="dxa" w:w="700"/>
            <w:shd w:fill="E7E6E6" w:color="auto" w:val="clear"/>
            <w:tcMar>
              <w:top w:type="dxa" w:w="70"/>
              <w:left w:type="dxa" w:w="110"/>
              <w:bottom w:type="dxa" w:w="70"/>
              <w:right w:type="dxa" w:w="110"/>
            </w:tcMar>
            <w:vAlign w:val="top"/>
          </w:tcPr>
          <w:p>
            <w:pPr>
              <w:spacing w:after="40"/>
            </w:pPr>
            <w:r>
              <w:rPr>
                <w:rFonts w:ascii="Verdana" w:cs="Verdana" w:eastAsia="Verdana" w:hAnsi="Verdana"/>
                <w:b/>
                <w:bCs/>
                <w:sz w:val="20"/>
                <w:szCs w:val="20"/>
              </w:rPr>
              <w:t xml:space="preserve">Week</w:t>
            </w:r>
          </w:p>
        </w:tc>
        <w:tc>
          <w:tcPr>
            <w:tcW w:type="dxa" w:w="5760"/>
            <w:shd w:fill="E7E6E6" w:color="auto" w:val="clear"/>
            <w:tcMar>
              <w:top w:type="dxa" w:w="70"/>
              <w:left w:type="dxa" w:w="110"/>
              <w:bottom w:type="dxa" w:w="70"/>
              <w:right w:type="dxa" w:w="110"/>
            </w:tcMar>
            <w:vAlign w:val="top"/>
          </w:tcPr>
          <w:p>
            <w:pPr>
              <w:spacing w:after="40"/>
            </w:pPr>
            <w:r>
              <w:rPr>
                <w:rFonts w:ascii="Verdana" w:cs="Verdana" w:eastAsia="Verdana" w:hAnsi="Verdana"/>
                <w:b/>
                <w:bCs/>
                <w:sz w:val="20"/>
                <w:szCs w:val="20"/>
              </w:rPr>
              <w:t xml:space="preserve">Lessons</w:t>
            </w:r>
          </w:p>
        </w:tc>
        <w:tc>
          <w:tcPr>
            <w:tcW w:type="dxa" w:w="2900"/>
            <w:shd w:fill="E7E6E6" w:color="auto" w:val="clear"/>
            <w:tcMar>
              <w:top w:type="dxa" w:w="70"/>
              <w:left w:type="dxa" w:w="110"/>
              <w:bottom w:type="dxa" w:w="70"/>
              <w:right w:type="dxa" w:w="110"/>
            </w:tcMar>
            <w:vAlign w:val="top"/>
          </w:tcPr>
          <w:p>
            <w:pPr>
              <w:spacing w:after="40"/>
            </w:pPr>
            <w:r>
              <w:rPr>
                <w:rFonts w:ascii="Verdana" w:cs="Verdana" w:eastAsia="Verdana" w:hAnsi="Verdana"/>
                <w:b/>
                <w:bCs/>
                <w:sz w:val="20"/>
                <w:szCs w:val="20"/>
              </w:rPr>
              <w:t xml:space="preserve">Assignments due</w:t>
            </w:r>
          </w:p>
        </w:tc>
      </w:tr>
      <w:tr>
        <w:trPr>
          <w:cantSplit/>
        </w:trPr>
        <w:tc>
          <w:tcPr>
            <w:tcW w:type="dxa" w:w="700"/>
            <w:tcMar>
              <w:top w:type="dxa" w:w="70"/>
              <w:left w:type="dxa" w:w="110"/>
              <w:bottom w:type="dxa" w:w="70"/>
              <w:right w:type="dxa" w:w="110"/>
            </w:tcMar>
            <w:vAlign w:val="top"/>
          </w:tcPr>
          <w:p>
            <w:pPr>
              <w:spacing w:after="40"/>
            </w:pPr>
            <w:r>
              <w:rPr>
                <w:rFonts w:ascii="Verdana" w:cs="Verdana" w:eastAsia="Verdana" w:hAnsi="Verdana"/>
                <w:b w:val="false"/>
                <w:bCs w:val="false"/>
                <w:sz w:val="20"/>
                <w:szCs w:val="20"/>
              </w:rPr>
              <w:t xml:space="preserve">1</w:t>
            </w:r>
          </w:p>
        </w:tc>
        <w:tc>
          <w:tcPr>
            <w:tcW w:type="dxa" w:w="5760"/>
            <w:tcMar>
              <w:top w:type="dxa" w:w="70"/>
              <w:left w:type="dxa" w:w="110"/>
              <w:bottom w:type="dxa" w:w="70"/>
              <w:right w:type="dxa" w:w="110"/>
            </w:tcMar>
            <w:vAlign w:val="top"/>
          </w:tcPr>
          <w:p>
            <w:pPr>
              <w:spacing w:after="60"/>
            </w:pPr>
            <w:r>
              <w:rPr>
                <w:rFonts w:ascii="Verdana" w:cs="Verdana" w:eastAsia="Verdana" w:hAnsi="Verdana"/>
                <w:b/>
                <w:bCs/>
                <w:sz w:val="20"/>
                <w:szCs w:val="20"/>
              </w:rPr>
              <w:t xml:space="preserve">Reading an EDR alert</w:t>
            </w:r>
          </w:p>
          <w:p>
            <w:pPr>
              <w:spacing w:after="40"/>
            </w:pPr>
            <w:r>
              <w:rPr>
                <w:rFonts w:ascii="Verdana" w:cs="Verdana" w:eastAsia="Verdana" w:hAnsi="Verdana"/>
                <w:b/>
                <w:bCs/>
                <w:sz w:val="20"/>
                <w:szCs w:val="20"/>
              </w:rPr>
              <w:t xml:space="preserve">Topics: </w:t>
            </w:r>
            <w:r>
              <w:rPr>
                <w:rFonts w:ascii="Verdana" w:cs="Verdana" w:eastAsia="Verdana" w:hAnsi="Verdana"/>
                <w:sz w:val="20"/>
                <w:szCs w:val="20"/>
              </w:rPr>
              <w:t xml:space="preserve">What an EDR detection contains: severity, the process tree, the technique tag, what the sensor did. The NIST 800-61 lifecycle. The ATT&amp;CK matrix as a vocabulary. Deciding whether a stack of alerts on one host is an incident.</w:t>
            </w:r>
          </w:p>
          <w:p>
            <w:pPr>
              <w:spacing w:after="40"/>
            </w:pPr>
            <w:r>
              <w:rPr>
                <w:rFonts w:ascii="Verdana" w:cs="Verdana" w:eastAsia="Verdana" w:hAnsi="Verdana"/>
                <w:b/>
                <w:bCs/>
                <w:sz w:val="20"/>
                <w:szCs w:val="20"/>
              </w:rPr>
              <w:t xml:space="preserve">Lab: </w:t>
            </w:r>
            <w:r>
              <w:rPr>
                <w:rFonts w:ascii="Verdana" w:cs="Verdana" w:eastAsia="Verdana" w:hAnsi="Verdana"/>
                <w:sz w:val="20"/>
                <w:szCs w:val="20"/>
              </w:rPr>
              <w:t xml:space="preserve">First Look: Reading an EDR Alert (practice, about 25 minutes).</w:t>
            </w:r>
          </w:p>
          <w:p>
            <w:pPr>
              <w:spacing w:after="40"/>
            </w:pPr>
            <w:r>
              <w:rPr>
                <w:rFonts w:ascii="Verdana" w:cs="Verdana" w:eastAsia="Verdana" w:hAnsi="Verdana"/>
                <w:b/>
                <w:bCs/>
                <w:sz w:val="20"/>
                <w:szCs w:val="20"/>
              </w:rPr>
              <w:t xml:space="preserve">In class: </w:t>
            </w:r>
            <w:r>
              <w:rPr>
                <w:rFonts w:ascii="Verdana" w:cs="Verdana" w:eastAsia="Verdana" w:hAnsi="Verdana"/>
                <w:sz w:val="20"/>
                <w:szCs w:val="20"/>
              </w:rPr>
              <w:t xml:space="preserve">Read one alert on the board and tag it. Technique IDs are required on every answer from this lab on.</w:t>
            </w:r>
          </w:p>
          <w:p>
            <w:pPr>
              <w:spacing w:after="40"/>
            </w:pPr>
            <w:r>
              <w:rPr>
                <w:rFonts w:ascii="Verdana" w:cs="Verdana" w:eastAsia="Verdana" w:hAnsi="Verdana"/>
                <w:b/>
                <w:bCs/>
                <w:sz w:val="20"/>
                <w:szCs w:val="20"/>
              </w:rPr>
              <w:t xml:space="preserve">Reading: </w:t>
            </w:r>
            <w:r>
              <w:rPr>
                <w:rFonts w:ascii="Verdana" w:cs="Verdana" w:eastAsia="Verdana" w:hAnsi="Verdana"/>
                <w:sz w:val="20"/>
                <w:szCs w:val="20"/>
              </w:rPr>
              <w:t xml:space="preserve">SP 800-61r2 section 3.2 (detection and analysis). ATT&amp;CK: Getting Started and the Execution tactic.</w:t>
            </w:r>
          </w:p>
          <w:p>
            <w:pPr>
              <w:spacing w:after="40"/>
            </w:pPr>
            <w:r>
              <w:rPr>
                <w:rFonts w:ascii="Verdana" w:cs="Verdana" w:eastAsia="Verdana" w:hAnsi="Verdana"/>
                <w:b/>
                <w:bCs/>
                <w:sz w:val="20"/>
                <w:szCs w:val="20"/>
              </w:rPr>
              <w:t xml:space="preserve">Before the lab: </w:t>
            </w:r>
            <w:r>
              <w:rPr>
                <w:rFonts w:ascii="Verdana" w:cs="Verdana" w:eastAsia="Verdana" w:hAnsi="Verdana"/>
                <w:sz w:val="20"/>
                <w:szCs w:val="20"/>
              </w:rPr>
              <w:t xml:space="preserve">Read the NIST 800-61 incident lifecycle summary and the ATT&amp;CK matrix overview.</w:t>
            </w:r>
          </w:p>
        </w:tc>
        <w:tc>
          <w:tcPr>
            <w:tcW w:type="dxa" w:w="2900"/>
            <w:tcMar>
              <w:top w:type="dxa" w:w="70"/>
              <w:left w:type="dxa" w:w="110"/>
              <w:bottom w:type="dxa" w:w="70"/>
              <w:right w:type="dxa" w:w="110"/>
            </w:tcMar>
            <w:vAlign w:val="top"/>
          </w:tcPr>
          <w:p>
            <w:pPr>
              <w:spacing w:after="40"/>
            </w:pPr>
            <w:r>
              <w:rPr>
                <w:rFonts w:ascii="Verdana" w:cs="Verdana" w:eastAsia="Verdana" w:hAnsi="Verdana"/>
                <w:b w:val="false"/>
                <w:bCs w:val="false"/>
                <w:sz w:val="20"/>
                <w:szCs w:val="20"/>
              </w:rPr>
              <w:t xml:space="preserve">Lab 1 answers, each with its ATT&amp;CK technique ID.</w:t>
            </w:r>
          </w:p>
          <w:p>
            <w:pPr>
              <w:spacing w:after="40"/>
            </w:pPr>
            <w:r>
              <w:rPr>
                <w:rFonts w:ascii="Verdana" w:cs="Verdana" w:eastAsia="Verdana" w:hAnsi="Verdana"/>
                <w:b w:val="false"/>
                <w:bCs w:val="false"/>
                <w:sz w:val="20"/>
                <w:szCs w:val="20"/>
              </w:rPr>
              <w:t xml:space="preserve">(Lab 1)</w:t>
            </w:r>
          </w:p>
        </w:tc>
      </w:tr>
      <w:tr>
        <w:trPr>
          <w:cantSplit/>
        </w:trPr>
        <w:tc>
          <w:tcPr>
            <w:tcW w:type="dxa" w:w="700"/>
            <w:tcMar>
              <w:top w:type="dxa" w:w="70"/>
              <w:left w:type="dxa" w:w="110"/>
              <w:bottom w:type="dxa" w:w="70"/>
              <w:right w:type="dxa" w:w="110"/>
            </w:tcMar>
            <w:vAlign w:val="top"/>
          </w:tcPr>
          <w:p>
            <w:pPr>
              <w:spacing w:after="40"/>
            </w:pPr>
            <w:r>
              <w:rPr>
                <w:rFonts w:ascii="Verdana" w:cs="Verdana" w:eastAsia="Verdana" w:hAnsi="Verdana"/>
                <w:b w:val="false"/>
                <w:bCs w:val="false"/>
                <w:sz w:val="20"/>
                <w:szCs w:val="20"/>
              </w:rPr>
              <w:t xml:space="preserve">2</w:t>
            </w:r>
          </w:p>
        </w:tc>
        <w:tc>
          <w:tcPr>
            <w:tcW w:type="dxa" w:w="5760"/>
            <w:tcMar>
              <w:top w:type="dxa" w:w="70"/>
              <w:left w:type="dxa" w:w="110"/>
              <w:bottom w:type="dxa" w:w="70"/>
              <w:right w:type="dxa" w:w="110"/>
            </w:tcMar>
            <w:vAlign w:val="top"/>
          </w:tcPr>
          <w:p>
            <w:pPr>
              <w:spacing w:after="60"/>
            </w:pPr>
            <w:r>
              <w:rPr>
                <w:rFonts w:ascii="Verdana" w:cs="Verdana" w:eastAsia="Verdana" w:hAnsi="Verdana"/>
                <w:b/>
                <w:bCs/>
                <w:sz w:val="20"/>
                <w:szCs w:val="20"/>
              </w:rPr>
              <w:t xml:space="preserve">The SIEM queue</w:t>
            </w:r>
          </w:p>
          <w:p>
            <w:pPr>
              <w:spacing w:after="40"/>
            </w:pPr>
            <w:r>
              <w:rPr>
                <w:rFonts w:ascii="Verdana" w:cs="Verdana" w:eastAsia="Verdana" w:hAnsi="Verdana"/>
                <w:b/>
                <w:bCs/>
                <w:sz w:val="20"/>
                <w:szCs w:val="20"/>
              </w:rPr>
              <w:t xml:space="preserve">Topics: </w:t>
            </w:r>
            <w:r>
              <w:rPr>
                <w:rFonts w:ascii="Verdana" w:cs="Verdana" w:eastAsia="Verdana" w:hAnsi="Verdana"/>
                <w:sz w:val="20"/>
                <w:szCs w:val="20"/>
              </w:rPr>
              <w:t xml:space="preserve">A correlated SIEM export: rules, entities, severity, and why most of the queue is noise. Prioritization under 800-61 section 3.2.6. Writing a triage note that says true positive, benign or needs more data, and why.</w:t>
            </w:r>
          </w:p>
          <w:p>
            <w:pPr>
              <w:spacing w:after="40"/>
            </w:pPr>
            <w:r>
              <w:rPr>
                <w:rFonts w:ascii="Verdana" w:cs="Verdana" w:eastAsia="Verdana" w:hAnsi="Verdana"/>
                <w:b/>
                <w:bCs/>
                <w:sz w:val="20"/>
                <w:szCs w:val="20"/>
              </w:rPr>
              <w:t xml:space="preserve">Lab: </w:t>
            </w:r>
            <w:r>
              <w:rPr>
                <w:rFonts w:ascii="Verdana" w:cs="Verdana" w:eastAsia="Verdana" w:hAnsi="Verdana"/>
                <w:sz w:val="20"/>
                <w:szCs w:val="20"/>
              </w:rPr>
              <w:t xml:space="preserve">First Look: Reading a SIEM Alert (practice, about 25 minutes).</w:t>
            </w:r>
          </w:p>
          <w:p>
            <w:pPr>
              <w:spacing w:after="40"/>
            </w:pPr>
            <w:r>
              <w:rPr>
                <w:rFonts w:ascii="Verdana" w:cs="Verdana" w:eastAsia="Verdana" w:hAnsi="Verdana"/>
                <w:b/>
                <w:bCs/>
                <w:sz w:val="20"/>
                <w:szCs w:val="20"/>
              </w:rPr>
              <w:t xml:space="preserve">In class: </w:t>
            </w:r>
            <w:r>
              <w:rPr>
                <w:rFonts w:ascii="Verdana" w:cs="Verdana" w:eastAsia="Verdana" w:hAnsi="Verdana"/>
                <w:sz w:val="20"/>
                <w:szCs w:val="20"/>
              </w:rPr>
              <w:t xml:space="preserve">Open the sample export in a JSON viewer and in a spreadsheet; decide which you prefer and why.</w:t>
            </w:r>
          </w:p>
          <w:p>
            <w:pPr>
              <w:spacing w:after="40"/>
            </w:pPr>
            <w:r>
              <w:rPr>
                <w:rFonts w:ascii="Verdana" w:cs="Verdana" w:eastAsia="Verdana" w:hAnsi="Verdana"/>
                <w:b/>
                <w:bCs/>
                <w:sz w:val="20"/>
                <w:szCs w:val="20"/>
              </w:rPr>
              <w:t xml:space="preserve">Reading: </w:t>
            </w:r>
            <w:r>
              <w:rPr>
                <w:rFonts w:ascii="Verdana" w:cs="Verdana" w:eastAsia="Verdana" w:hAnsi="Verdana"/>
                <w:sz w:val="20"/>
                <w:szCs w:val="20"/>
              </w:rPr>
              <w:t xml:space="preserve">SP 800-61r2 section 3.2.4 (incident analysis) and 3.2.6 (prioritisation).</w:t>
            </w:r>
          </w:p>
          <w:p>
            <w:pPr>
              <w:spacing w:after="40"/>
            </w:pPr>
            <w:r>
              <w:rPr>
                <w:rFonts w:ascii="Verdana" w:cs="Verdana" w:eastAsia="Verdana" w:hAnsi="Verdana"/>
                <w:b/>
                <w:bCs/>
                <w:sz w:val="20"/>
                <w:szCs w:val="20"/>
              </w:rPr>
              <w:t xml:space="preserve">Before the lab: </w:t>
            </w:r>
            <w:r>
              <w:rPr>
                <w:rFonts w:ascii="Verdana" w:cs="Verdana" w:eastAsia="Verdana" w:hAnsi="Verdana"/>
                <w:sz w:val="20"/>
                <w:szCs w:val="20"/>
              </w:rPr>
              <w:t xml:space="preserve">Open the sample SIEM export in a JSON viewer and in a spreadsheet; decide which you prefer.</w:t>
            </w:r>
          </w:p>
        </w:tc>
        <w:tc>
          <w:tcPr>
            <w:tcW w:type="dxa" w:w="2900"/>
            <w:tcMar>
              <w:top w:type="dxa" w:w="70"/>
              <w:left w:type="dxa" w:w="110"/>
              <w:bottom w:type="dxa" w:w="70"/>
              <w:right w:type="dxa" w:w="110"/>
            </w:tcMar>
            <w:vAlign w:val="top"/>
          </w:tcPr>
          <w:p>
            <w:pPr>
              <w:spacing w:after="40"/>
            </w:pPr>
            <w:r>
              <w:rPr>
                <w:rFonts w:ascii="Verdana" w:cs="Verdana" w:eastAsia="Verdana" w:hAnsi="Verdana"/>
                <w:b w:val="false"/>
                <w:bCs w:val="false"/>
                <w:sz w:val="20"/>
                <w:szCs w:val="20"/>
              </w:rPr>
              <w:t xml:space="preserve">Lab 2 answers and a one-line triage note for every alert in the export.</w:t>
            </w:r>
          </w:p>
          <w:p>
            <w:pPr>
              <w:spacing w:after="40"/>
            </w:pPr>
            <w:r>
              <w:rPr>
                <w:rFonts w:ascii="Verdana" w:cs="Verdana" w:eastAsia="Verdana" w:hAnsi="Verdana"/>
                <w:b w:val="false"/>
                <w:bCs w:val="false"/>
                <w:sz w:val="20"/>
                <w:szCs w:val="20"/>
              </w:rPr>
              <w:t xml:space="preserve">(Lab 2)</w:t>
            </w:r>
          </w:p>
        </w:tc>
      </w:tr>
      <w:tr>
        <w:trPr>
          <w:cantSplit/>
        </w:trPr>
        <w:tc>
          <w:tcPr>
            <w:tcW w:type="dxa" w:w="700"/>
            <w:tcMar>
              <w:top w:type="dxa" w:w="70"/>
              <w:left w:type="dxa" w:w="110"/>
              <w:bottom w:type="dxa" w:w="70"/>
              <w:right w:type="dxa" w:w="110"/>
            </w:tcMar>
            <w:vAlign w:val="top"/>
          </w:tcPr>
          <w:p>
            <w:pPr>
              <w:spacing w:after="40"/>
            </w:pPr>
            <w:r>
              <w:rPr>
                <w:rFonts w:ascii="Verdana" w:cs="Verdana" w:eastAsia="Verdana" w:hAnsi="Verdana"/>
                <w:b w:val="false"/>
                <w:bCs w:val="false"/>
                <w:sz w:val="20"/>
                <w:szCs w:val="20"/>
              </w:rPr>
              <w:t xml:space="preserve">3</w:t>
            </w:r>
          </w:p>
        </w:tc>
        <w:tc>
          <w:tcPr>
            <w:tcW w:type="dxa" w:w="5760"/>
            <w:tcMar>
              <w:top w:type="dxa" w:w="70"/>
              <w:left w:type="dxa" w:w="110"/>
              <w:bottom w:type="dxa" w:w="70"/>
              <w:right w:type="dxa" w:w="110"/>
            </w:tcMar>
            <w:vAlign w:val="top"/>
          </w:tcPr>
          <w:p>
            <w:pPr>
              <w:spacing w:after="60"/>
            </w:pPr>
            <w:r>
              <w:rPr>
                <w:rFonts w:ascii="Verdana" w:cs="Verdana" w:eastAsia="Verdana" w:hAnsi="Verdana"/>
                <w:b/>
                <w:bCs/>
                <w:sz w:val="20"/>
                <w:szCs w:val="20"/>
              </w:rPr>
              <w:t xml:space="preserve">Beacons in web traffic</w:t>
            </w:r>
          </w:p>
          <w:p>
            <w:pPr>
              <w:spacing w:after="40"/>
            </w:pPr>
            <w:r>
              <w:rPr>
                <w:rFonts w:ascii="Verdana" w:cs="Verdana" w:eastAsia="Verdana" w:hAnsi="Verdana"/>
                <w:b/>
                <w:bCs/>
                <w:sz w:val="20"/>
                <w:szCs w:val="20"/>
              </w:rPr>
              <w:t xml:space="preserve">Topics: </w:t>
            </w:r>
            <w:r>
              <w:rPr>
                <w:rFonts w:ascii="Verdana" w:cs="Verdana" w:eastAsia="Verdana" w:hAnsi="Verdana"/>
                <w:sz w:val="20"/>
                <w:szCs w:val="20"/>
              </w:rPr>
              <w:t xml:space="preserve">Beaconing: periodicity, jitter, odd user agents, the lookup that precedes the callback. Reading an hour of proxy or capture data and ruling out the ordinary destinations. Pulling an indicator set ready to block.</w:t>
            </w:r>
          </w:p>
          <w:p>
            <w:pPr>
              <w:spacing w:after="40"/>
            </w:pPr>
            <w:r>
              <w:rPr>
                <w:rFonts w:ascii="Verdana" w:cs="Verdana" w:eastAsia="Verdana" w:hAnsi="Verdana"/>
                <w:b/>
                <w:bCs/>
                <w:sz w:val="20"/>
                <w:szCs w:val="20"/>
              </w:rPr>
              <w:t xml:space="preserve">Lab: </w:t>
            </w:r>
            <w:r>
              <w:rPr>
                <w:rFonts w:ascii="Verdana" w:cs="Verdana" w:eastAsia="Verdana" w:hAnsi="Verdana"/>
                <w:sz w:val="20"/>
                <w:szCs w:val="20"/>
              </w:rPr>
              <w:t xml:space="preserve">First Look: One Beacon in the Web Traffic (practice, about 30 minutes).</w:t>
            </w:r>
          </w:p>
          <w:p>
            <w:pPr>
              <w:spacing w:after="40"/>
            </w:pPr>
            <w:r>
              <w:rPr>
                <w:rFonts w:ascii="Verdana" w:cs="Verdana" w:eastAsia="Verdana" w:hAnsi="Verdana"/>
                <w:b/>
                <w:bCs/>
                <w:sz w:val="20"/>
                <w:szCs w:val="20"/>
              </w:rPr>
              <w:t xml:space="preserve">In class: </w:t>
            </w:r>
            <w:r>
              <w:rPr>
                <w:rFonts w:ascii="Verdana" w:cs="Verdana" w:eastAsia="Verdana" w:hAnsi="Verdana"/>
                <w:sz w:val="20"/>
                <w:szCs w:val="20"/>
              </w:rPr>
              <w:t xml:space="preserve">Compute the beacon interval by hand from the timestamps once before any tool does it for you.</w:t>
            </w:r>
          </w:p>
          <w:p>
            <w:pPr>
              <w:spacing w:after="40"/>
            </w:pPr>
            <w:r>
              <w:rPr>
                <w:rFonts w:ascii="Verdana" w:cs="Verdana" w:eastAsia="Verdana" w:hAnsi="Verdana"/>
                <w:b/>
                <w:bCs/>
                <w:sz w:val="20"/>
                <w:szCs w:val="20"/>
              </w:rPr>
              <w:t xml:space="preserve">Reading: </w:t>
            </w:r>
            <w:r>
              <w:rPr>
                <w:rFonts w:ascii="Verdana" w:cs="Verdana" w:eastAsia="Verdana" w:hAnsi="Verdana"/>
                <w:sz w:val="20"/>
                <w:szCs w:val="20"/>
              </w:rPr>
              <w:t xml:space="preserve">ATT&amp;CK: Command and Control tactic, T1071 and T1573. Wireshark User's Guide chapter 6.</w:t>
            </w:r>
          </w:p>
          <w:p>
            <w:pPr>
              <w:spacing w:after="40"/>
            </w:pPr>
            <w:r>
              <w:rPr>
                <w:rFonts w:ascii="Verdana" w:cs="Verdana" w:eastAsia="Verdana" w:hAnsi="Verdana"/>
                <w:b/>
                <w:bCs/>
                <w:sz w:val="20"/>
                <w:szCs w:val="20"/>
              </w:rPr>
              <w:t xml:space="preserve">Before the lab: </w:t>
            </w:r>
            <w:r>
              <w:rPr>
                <w:rFonts w:ascii="Verdana" w:cs="Verdana" w:eastAsia="Verdana" w:hAnsi="Verdana"/>
                <w:sz w:val="20"/>
                <w:szCs w:val="20"/>
              </w:rPr>
              <w:t xml:space="preserve">Read the beaconing primer: periodicity, jitter, user-agent anomalies.</w:t>
            </w:r>
          </w:p>
        </w:tc>
        <w:tc>
          <w:tcPr>
            <w:tcW w:type="dxa" w:w="2900"/>
            <w:tcMar>
              <w:top w:type="dxa" w:w="70"/>
              <w:left w:type="dxa" w:w="110"/>
              <w:bottom w:type="dxa" w:w="70"/>
              <w:right w:type="dxa" w:w="110"/>
            </w:tcMar>
            <w:vAlign w:val="top"/>
          </w:tcPr>
          <w:p>
            <w:pPr>
              <w:spacing w:after="40"/>
            </w:pPr>
            <w:r>
              <w:rPr>
                <w:rFonts w:ascii="Verdana" w:cs="Verdana" w:eastAsia="Verdana" w:hAnsi="Verdana"/>
                <w:b w:val="false"/>
                <w:bCs w:val="false"/>
                <w:sz w:val="20"/>
                <w:szCs w:val="20"/>
              </w:rPr>
              <w:t xml:space="preserve">Lab 3 answers and an indicator list (domains, IPs, user agents) ready to block.</w:t>
            </w:r>
          </w:p>
          <w:p>
            <w:pPr>
              <w:spacing w:after="40"/>
            </w:pPr>
            <w:r>
              <w:rPr>
                <w:rFonts w:ascii="Verdana" w:cs="Verdana" w:eastAsia="Verdana" w:hAnsi="Verdana"/>
                <w:b w:val="false"/>
                <w:bCs w:val="false"/>
                <w:sz w:val="20"/>
                <w:szCs w:val="20"/>
              </w:rPr>
              <w:t xml:space="preserve">(Lab 3)</w:t>
            </w:r>
          </w:p>
        </w:tc>
      </w:tr>
    </w:tbl>
    <w:p>
      <w:pPr>
        <w:keepNext/>
        <w:spacing w:after="80" w:before="240"/>
      </w:pPr>
      <w:r>
        <w:rPr>
          <w:rFonts w:ascii="Verdana" w:cs="Verdana" w:eastAsia="Verdana" w:hAnsi="Verdana"/>
          <w:b/>
          <w:bCs/>
          <w:sz w:val="24"/>
          <w:szCs w:val="24"/>
        </w:rPr>
        <w:t xml:space="preserve">Module 2: Drill: phishing to foothold</w:t>
      </w:r>
    </w:p>
    <w:p>
      <w:pPr>
        <w:keepNext/>
        <w:spacing w:after="160"/>
      </w:pPr>
      <w:r>
        <w:rPr>
          <w:rFonts w:ascii="Verdana" w:cs="Verdana" w:eastAsia="Verdana" w:hAnsi="Verdana"/>
          <w:sz w:val="24"/>
          <w:szCs w:val="24"/>
        </w:rPr>
        <w:t xml:space="preserve">The first timed drill. One click, followed from the email through execution and persistence to a containment call, in 45 minutes.</w:t>
      </w:r>
    </w:p>
    <w:p>
      <w:pPr>
        <w:keepNext/>
        <w:spacing w:after="120"/>
      </w:pPr>
      <w:r>
        <w:rPr>
          <w:rFonts w:ascii="Verdana" w:cs="Verdana" w:eastAsia="Verdana" w:hAnsi="Verdana"/>
          <w:b/>
          <w:bCs/>
          <w:sz w:val="20"/>
          <w:szCs w:val="20"/>
        </w:rPr>
        <w:t xml:space="preserve">Module link: </w:t>
      </w:r>
      <w:r>
        <w:rPr>
          <w:rFonts w:ascii="Verdana" w:cs="Verdana" w:eastAsia="Verdana" w:hAnsi="Verdana"/>
          <w:sz w:val="20"/>
          <w:szCs w:val="20"/>
        </w:rPr>
        <w:t xml:space="preserve">[CLARK module link]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760"/>
        <w:gridCol w:w="2900"/>
      </w:tblGrid>
      <w:tr>
        <w:trPr>
          <w:tblHeader/>
        </w:trPr>
        <w:tc>
          <w:tcPr>
            <w:tcW w:type="dxa" w:w="700"/>
            <w:shd w:fill="E7E6E6" w:color="auto" w:val="clear"/>
            <w:tcMar>
              <w:top w:type="dxa" w:w="70"/>
              <w:left w:type="dxa" w:w="110"/>
              <w:bottom w:type="dxa" w:w="70"/>
              <w:right w:type="dxa" w:w="110"/>
            </w:tcMar>
            <w:vAlign w:val="top"/>
          </w:tcPr>
          <w:p>
            <w:pPr>
              <w:spacing w:after="40"/>
            </w:pPr>
            <w:r>
              <w:rPr>
                <w:rFonts w:ascii="Verdana" w:cs="Verdana" w:eastAsia="Verdana" w:hAnsi="Verdana"/>
                <w:b/>
                <w:bCs/>
                <w:sz w:val="20"/>
                <w:szCs w:val="20"/>
              </w:rPr>
              <w:t xml:space="preserve">Week</w:t>
            </w:r>
          </w:p>
        </w:tc>
        <w:tc>
          <w:tcPr>
            <w:tcW w:type="dxa" w:w="5760"/>
            <w:shd w:fill="E7E6E6" w:color="auto" w:val="clear"/>
            <w:tcMar>
              <w:top w:type="dxa" w:w="70"/>
              <w:left w:type="dxa" w:w="110"/>
              <w:bottom w:type="dxa" w:w="70"/>
              <w:right w:type="dxa" w:w="110"/>
            </w:tcMar>
            <w:vAlign w:val="top"/>
          </w:tcPr>
          <w:p>
            <w:pPr>
              <w:spacing w:after="40"/>
            </w:pPr>
            <w:r>
              <w:rPr>
                <w:rFonts w:ascii="Verdana" w:cs="Verdana" w:eastAsia="Verdana" w:hAnsi="Verdana"/>
                <w:b/>
                <w:bCs/>
                <w:sz w:val="20"/>
                <w:szCs w:val="20"/>
              </w:rPr>
              <w:t xml:space="preserve">Lessons</w:t>
            </w:r>
          </w:p>
        </w:tc>
        <w:tc>
          <w:tcPr>
            <w:tcW w:type="dxa" w:w="2900"/>
            <w:shd w:fill="E7E6E6" w:color="auto" w:val="clear"/>
            <w:tcMar>
              <w:top w:type="dxa" w:w="70"/>
              <w:left w:type="dxa" w:w="110"/>
              <w:bottom w:type="dxa" w:w="70"/>
              <w:right w:type="dxa" w:w="110"/>
            </w:tcMar>
            <w:vAlign w:val="top"/>
          </w:tcPr>
          <w:p>
            <w:pPr>
              <w:spacing w:after="40"/>
            </w:pPr>
            <w:r>
              <w:rPr>
                <w:rFonts w:ascii="Verdana" w:cs="Verdana" w:eastAsia="Verdana" w:hAnsi="Verdana"/>
                <w:b/>
                <w:bCs/>
                <w:sz w:val="20"/>
                <w:szCs w:val="20"/>
              </w:rPr>
              <w:t xml:space="preserve">Assignments due</w:t>
            </w:r>
          </w:p>
        </w:tc>
      </w:tr>
      <w:tr>
        <w:trPr>
          <w:cantSplit/>
        </w:trPr>
        <w:tc>
          <w:tcPr>
            <w:tcW w:type="dxa" w:w="700"/>
            <w:tcMar>
              <w:top w:type="dxa" w:w="70"/>
              <w:left w:type="dxa" w:w="110"/>
              <w:bottom w:type="dxa" w:w="70"/>
              <w:right w:type="dxa" w:w="110"/>
            </w:tcMar>
            <w:vAlign w:val="top"/>
          </w:tcPr>
          <w:p>
            <w:pPr>
              <w:spacing w:after="40"/>
            </w:pPr>
            <w:r>
              <w:rPr>
                <w:rFonts w:ascii="Verdana" w:cs="Verdana" w:eastAsia="Verdana" w:hAnsi="Verdana"/>
                <w:b w:val="false"/>
                <w:bCs w:val="false"/>
                <w:sz w:val="20"/>
                <w:szCs w:val="20"/>
              </w:rPr>
              <w:t xml:space="preserve">4</w:t>
            </w:r>
          </w:p>
        </w:tc>
        <w:tc>
          <w:tcPr>
            <w:tcW w:type="dxa" w:w="5760"/>
            <w:tcMar>
              <w:top w:type="dxa" w:w="70"/>
              <w:left w:type="dxa" w:w="110"/>
              <w:bottom w:type="dxa" w:w="70"/>
              <w:right w:type="dxa" w:w="110"/>
            </w:tcMar>
            <w:vAlign w:val="top"/>
          </w:tcPr>
          <w:p>
            <w:pPr>
              <w:spacing w:after="60"/>
            </w:pPr>
            <w:r>
              <w:rPr>
                <w:rFonts w:ascii="Verdana" w:cs="Verdana" w:eastAsia="Verdana" w:hAnsi="Verdana"/>
                <w:b/>
                <w:bCs/>
                <w:sz w:val="20"/>
                <w:szCs w:val="20"/>
              </w:rPr>
              <w:t xml:space="preserve">Phishing to foothold</w:t>
            </w:r>
          </w:p>
          <w:p>
            <w:pPr>
              <w:spacing w:after="40"/>
            </w:pPr>
            <w:r>
              <w:rPr>
                <w:rFonts w:ascii="Verdana" w:cs="Verdana" w:eastAsia="Verdana" w:hAnsi="Verdana"/>
                <w:b/>
                <w:bCs/>
                <w:sz w:val="20"/>
                <w:szCs w:val="20"/>
              </w:rPr>
              <w:t xml:space="preserve">Topics: </w:t>
            </w:r>
            <w:r>
              <w:rPr>
                <w:rFonts w:ascii="Verdana" w:cs="Verdana" w:eastAsia="Verdana" w:hAnsi="Verdana"/>
                <w:sz w:val="20"/>
                <w:szCs w:val="20"/>
              </w:rPr>
              <w:t xml:space="preserve">Containment under 800-61 section 3.3 and the CISA incident response playbook. What you can decide in 45 minutes and what has to wait. The drill runs in exam mode.</w:t>
            </w:r>
          </w:p>
          <w:p>
            <w:pPr>
              <w:spacing w:after="40"/>
            </w:pPr>
            <w:r>
              <w:rPr>
                <w:rFonts w:ascii="Verdana" w:cs="Verdana" w:eastAsia="Verdana" w:hAnsi="Verdana"/>
                <w:b/>
                <w:bCs/>
                <w:sz w:val="20"/>
                <w:szCs w:val="20"/>
              </w:rPr>
              <w:t xml:space="preserve">Lab: </w:t>
            </w:r>
            <w:r>
              <w:rPr>
                <w:rFonts w:ascii="Verdana" w:cs="Verdana" w:eastAsia="Verdana" w:hAnsi="Verdana"/>
                <w:sz w:val="20"/>
                <w:szCs w:val="20"/>
              </w:rPr>
              <w:t xml:space="preserve">Phishing to Foothold (timed exam, 45 minutes).</w:t>
            </w:r>
          </w:p>
          <w:p>
            <w:pPr>
              <w:spacing w:after="40"/>
            </w:pPr>
            <w:r>
              <w:rPr>
                <w:rFonts w:ascii="Verdana" w:cs="Verdana" w:eastAsia="Verdana" w:hAnsi="Verdana"/>
                <w:b/>
                <w:bCs/>
                <w:sz w:val="20"/>
                <w:szCs w:val="20"/>
              </w:rPr>
              <w:t xml:space="preserve">In class: </w:t>
            </w:r>
            <w:r>
              <w:rPr>
                <w:rFonts w:ascii="Verdana" w:cs="Verdana" w:eastAsia="Verdana" w:hAnsi="Verdana"/>
                <w:sz w:val="20"/>
                <w:szCs w:val="20"/>
              </w:rPr>
              <w:t xml:space="preserve">Drill 1: phishing to foothold, 45 minutes. Group debrief on the containment calls; more than one is defensible.</w:t>
            </w:r>
          </w:p>
          <w:p>
            <w:pPr>
              <w:spacing w:after="40"/>
            </w:pPr>
            <w:r>
              <w:rPr>
                <w:rFonts w:ascii="Verdana" w:cs="Verdana" w:eastAsia="Verdana" w:hAnsi="Verdana"/>
                <w:b/>
                <w:bCs/>
                <w:sz w:val="20"/>
                <w:szCs w:val="20"/>
              </w:rPr>
              <w:t xml:space="preserve">Reading: </w:t>
            </w:r>
            <w:r>
              <w:rPr>
                <w:rFonts w:ascii="Verdana" w:cs="Verdana" w:eastAsia="Verdana" w:hAnsi="Verdana"/>
                <w:sz w:val="20"/>
                <w:szCs w:val="20"/>
              </w:rPr>
              <w:t xml:space="preserve">SP 800-61r2 section 3.3 (containment). CISA playbook: incident response, containment step.</w:t>
            </w:r>
          </w:p>
          <w:p>
            <w:pPr>
              <w:spacing w:after="40"/>
            </w:pPr>
            <w:r>
              <w:rPr>
                <w:rFonts w:ascii="Verdana" w:cs="Verdana" w:eastAsia="Verdana" w:hAnsi="Verdana"/>
                <w:b/>
                <w:bCs/>
                <w:sz w:val="20"/>
                <w:szCs w:val="20"/>
              </w:rPr>
              <w:t xml:space="preserve">Before the lab: </w:t>
            </w:r>
            <w:r>
              <w:rPr>
                <w:rFonts w:ascii="Verdana" w:cs="Verdana" w:eastAsia="Verdana" w:hAnsi="Verdana"/>
                <w:sz w:val="20"/>
                <w:szCs w:val="20"/>
              </w:rPr>
              <w:t xml:space="preserve">Review weeks 1 to 3. Read the containment decision checklist.</w:t>
            </w:r>
          </w:p>
        </w:tc>
        <w:tc>
          <w:tcPr>
            <w:tcW w:type="dxa" w:w="2900"/>
            <w:tcMar>
              <w:top w:type="dxa" w:w="70"/>
              <w:left w:type="dxa" w:w="110"/>
              <w:bottom w:type="dxa" w:w="70"/>
              <w:right w:type="dxa" w:w="110"/>
            </w:tcMar>
            <w:vAlign w:val="top"/>
          </w:tcPr>
          <w:p>
            <w:pPr>
              <w:spacing w:after="40"/>
            </w:pPr>
            <w:r>
              <w:rPr>
                <w:rFonts w:ascii="Verdana" w:cs="Verdana" w:eastAsia="Verdana" w:hAnsi="Verdana"/>
                <w:b w:val="false"/>
                <w:bCs w:val="false"/>
                <w:sz w:val="20"/>
                <w:szCs w:val="20"/>
              </w:rPr>
              <w:t xml:space="preserve">Drill 1 submitted in the portal within 45 minutes, including the containment call and its reason.</w:t>
            </w:r>
          </w:p>
          <w:p>
            <w:pPr>
              <w:spacing w:after="40"/>
            </w:pPr>
            <w:r>
              <w:rPr>
                <w:rFonts w:ascii="Verdana" w:cs="Verdana" w:eastAsia="Verdana" w:hAnsi="Verdana"/>
                <w:b w:val="false"/>
                <w:bCs w:val="false"/>
                <w:sz w:val="20"/>
                <w:szCs w:val="20"/>
              </w:rPr>
              <w:t xml:space="preserve">(Drill 1 (15%))</w:t>
            </w:r>
          </w:p>
        </w:tc>
      </w:tr>
    </w:tbl>
    <w:p>
      <w:pPr>
        <w:keepNext/>
        <w:spacing w:after="80" w:before="240"/>
      </w:pPr>
      <w:r>
        <w:rPr>
          <w:rFonts w:ascii="Verdana" w:cs="Verdana" w:eastAsia="Verdana" w:hAnsi="Verdana"/>
          <w:b/>
          <w:bCs/>
          <w:sz w:val="24"/>
          <w:szCs w:val="24"/>
        </w:rPr>
        <w:t xml:space="preserve">Module 3: Triage and scoping</w:t>
      </w:r>
    </w:p>
    <w:p>
      <w:pPr>
        <w:keepNext/>
        <w:spacing w:after="160"/>
      </w:pPr>
      <w:r>
        <w:rPr>
          <w:rFonts w:ascii="Verdana" w:cs="Verdana" w:eastAsia="Verdana" w:hAnsi="Verdana"/>
          <w:sz w:val="24"/>
          <w:szCs w:val="24"/>
        </w:rPr>
        <w:t xml:space="preserve">Going from an alert to a verdict on malware, then following an attacker from a workstation to the file server through the Windows event logs.</w:t>
      </w:r>
    </w:p>
    <w:p>
      <w:pPr>
        <w:keepNext/>
        <w:spacing w:after="120"/>
      </w:pPr>
      <w:r>
        <w:rPr>
          <w:rFonts w:ascii="Verdana" w:cs="Verdana" w:eastAsia="Verdana" w:hAnsi="Verdana"/>
          <w:b/>
          <w:bCs/>
          <w:sz w:val="20"/>
          <w:szCs w:val="20"/>
        </w:rPr>
        <w:t xml:space="preserve">Module link: </w:t>
      </w:r>
      <w:r>
        <w:rPr>
          <w:rFonts w:ascii="Verdana" w:cs="Verdana" w:eastAsia="Verdana" w:hAnsi="Verdana"/>
          <w:sz w:val="20"/>
          <w:szCs w:val="20"/>
        </w:rPr>
        <w:t xml:space="preserve">[CLARK module link]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760"/>
        <w:gridCol w:w="2900"/>
      </w:tblGrid>
      <w:tr>
        <w:trPr>
          <w:tblHeader/>
        </w:trPr>
        <w:tc>
          <w:tcPr>
            <w:tcW w:type="dxa" w:w="700"/>
            <w:shd w:fill="E7E6E6" w:color="auto" w:val="clear"/>
            <w:tcMar>
              <w:top w:type="dxa" w:w="70"/>
              <w:left w:type="dxa" w:w="110"/>
              <w:bottom w:type="dxa" w:w="70"/>
              <w:right w:type="dxa" w:w="110"/>
            </w:tcMar>
            <w:vAlign w:val="top"/>
          </w:tcPr>
          <w:p>
            <w:pPr>
              <w:spacing w:after="40"/>
            </w:pPr>
            <w:r>
              <w:rPr>
                <w:rFonts w:ascii="Verdana" w:cs="Verdana" w:eastAsia="Verdana" w:hAnsi="Verdana"/>
                <w:b/>
                <w:bCs/>
                <w:sz w:val="20"/>
                <w:szCs w:val="20"/>
              </w:rPr>
              <w:t xml:space="preserve">Week</w:t>
            </w:r>
          </w:p>
        </w:tc>
        <w:tc>
          <w:tcPr>
            <w:tcW w:type="dxa" w:w="5760"/>
            <w:shd w:fill="E7E6E6" w:color="auto" w:val="clear"/>
            <w:tcMar>
              <w:top w:type="dxa" w:w="70"/>
              <w:left w:type="dxa" w:w="110"/>
              <w:bottom w:type="dxa" w:w="70"/>
              <w:right w:type="dxa" w:w="110"/>
            </w:tcMar>
            <w:vAlign w:val="top"/>
          </w:tcPr>
          <w:p>
            <w:pPr>
              <w:spacing w:after="40"/>
            </w:pPr>
            <w:r>
              <w:rPr>
                <w:rFonts w:ascii="Verdana" w:cs="Verdana" w:eastAsia="Verdana" w:hAnsi="Verdana"/>
                <w:b/>
                <w:bCs/>
                <w:sz w:val="20"/>
                <w:szCs w:val="20"/>
              </w:rPr>
              <w:t xml:space="preserve">Lessons</w:t>
            </w:r>
          </w:p>
        </w:tc>
        <w:tc>
          <w:tcPr>
            <w:tcW w:type="dxa" w:w="2900"/>
            <w:shd w:fill="E7E6E6" w:color="auto" w:val="clear"/>
            <w:tcMar>
              <w:top w:type="dxa" w:w="70"/>
              <w:left w:type="dxa" w:w="110"/>
              <w:bottom w:type="dxa" w:w="70"/>
              <w:right w:type="dxa" w:w="110"/>
            </w:tcMar>
            <w:vAlign w:val="top"/>
          </w:tcPr>
          <w:p>
            <w:pPr>
              <w:spacing w:after="40"/>
            </w:pPr>
            <w:r>
              <w:rPr>
                <w:rFonts w:ascii="Verdana" w:cs="Verdana" w:eastAsia="Verdana" w:hAnsi="Verdana"/>
                <w:b/>
                <w:bCs/>
                <w:sz w:val="20"/>
                <w:szCs w:val="20"/>
              </w:rPr>
              <w:t xml:space="preserve">Assignments due</w:t>
            </w:r>
          </w:p>
        </w:tc>
      </w:tr>
      <w:tr>
        <w:trPr>
          <w:cantSplit/>
        </w:trPr>
        <w:tc>
          <w:tcPr>
            <w:tcW w:type="dxa" w:w="700"/>
            <w:tcMar>
              <w:top w:type="dxa" w:w="70"/>
              <w:left w:type="dxa" w:w="110"/>
              <w:bottom w:type="dxa" w:w="70"/>
              <w:right w:type="dxa" w:w="110"/>
            </w:tcMar>
            <w:vAlign w:val="top"/>
          </w:tcPr>
          <w:p>
            <w:pPr>
              <w:spacing w:after="40"/>
            </w:pPr>
            <w:r>
              <w:rPr>
                <w:rFonts w:ascii="Verdana" w:cs="Verdana" w:eastAsia="Verdana" w:hAnsi="Verdana"/>
                <w:b w:val="false"/>
                <w:bCs w:val="false"/>
                <w:sz w:val="20"/>
                <w:szCs w:val="20"/>
              </w:rPr>
              <w:t xml:space="preserve">5</w:t>
            </w:r>
          </w:p>
        </w:tc>
        <w:tc>
          <w:tcPr>
            <w:tcW w:type="dxa" w:w="5760"/>
            <w:tcMar>
              <w:top w:type="dxa" w:w="70"/>
              <w:left w:type="dxa" w:w="110"/>
              <w:bottom w:type="dxa" w:w="70"/>
              <w:right w:type="dxa" w:w="110"/>
            </w:tcMar>
            <w:vAlign w:val="top"/>
          </w:tcPr>
          <w:p>
            <w:pPr>
              <w:spacing w:after="60"/>
            </w:pPr>
            <w:r>
              <w:rPr>
                <w:rFonts w:ascii="Verdana" w:cs="Verdana" w:eastAsia="Verdana" w:hAnsi="Verdana"/>
                <w:b/>
                <w:bCs/>
                <w:sz w:val="20"/>
                <w:szCs w:val="20"/>
              </w:rPr>
              <w:t xml:space="preserve">Malware triage</w:t>
            </w:r>
          </w:p>
          <w:p>
            <w:pPr>
              <w:spacing w:after="40"/>
            </w:pPr>
            <w:r>
              <w:rPr>
                <w:rFonts w:ascii="Verdana" w:cs="Verdana" w:eastAsia="Verdana" w:hAnsi="Verdana"/>
                <w:b/>
                <w:bCs/>
                <w:sz w:val="20"/>
                <w:szCs w:val="20"/>
              </w:rPr>
              <w:t xml:space="preserve">Topics: </w:t>
            </w:r>
            <w:r>
              <w:rPr>
                <w:rFonts w:ascii="Verdana" w:cs="Verdana" w:eastAsia="Verdana" w:hAnsi="Verdana"/>
                <w:sz w:val="20"/>
                <w:szCs w:val="20"/>
              </w:rPr>
              <w:t xml:space="preserve">Malware triage under SP 800-83: hashes, signatures, parent process, first-seen time, what the sensor blocked. Severity ratings. Knowing when to stop and hand off rather than reverse the sample.</w:t>
            </w:r>
          </w:p>
          <w:p>
            <w:pPr>
              <w:spacing w:after="40"/>
            </w:pPr>
            <w:r>
              <w:rPr>
                <w:rFonts w:ascii="Verdana" w:cs="Verdana" w:eastAsia="Verdana" w:hAnsi="Verdana"/>
                <w:b/>
                <w:bCs/>
                <w:sz w:val="20"/>
                <w:szCs w:val="20"/>
              </w:rPr>
              <w:t xml:space="preserve">Lab: </w:t>
            </w:r>
            <w:r>
              <w:rPr>
                <w:rFonts w:ascii="Verdana" w:cs="Verdana" w:eastAsia="Verdana" w:hAnsi="Verdana"/>
                <w:sz w:val="20"/>
                <w:szCs w:val="20"/>
              </w:rPr>
              <w:t xml:space="preserve">Malware Triage: From Alert to Verdict (practice, about 35 minutes).</w:t>
            </w:r>
          </w:p>
          <w:p>
            <w:pPr>
              <w:spacing w:after="40"/>
            </w:pPr>
            <w:r>
              <w:rPr>
                <w:rFonts w:ascii="Verdana" w:cs="Verdana" w:eastAsia="Verdana" w:hAnsi="Verdana"/>
                <w:b/>
                <w:bCs/>
                <w:sz w:val="20"/>
                <w:szCs w:val="20"/>
              </w:rPr>
              <w:t xml:space="preserve">In class: </w:t>
            </w:r>
            <w:r>
              <w:rPr>
                <w:rFonts w:ascii="Verdana" w:cs="Verdana" w:eastAsia="Verdana" w:hAnsi="Verdana"/>
                <w:sz w:val="20"/>
                <w:szCs w:val="20"/>
              </w:rPr>
              <w:t xml:space="preserve">Students who try to reverse the sample run out of time. The lesson is where the verdict comes from.</w:t>
            </w:r>
          </w:p>
          <w:p>
            <w:pPr>
              <w:spacing w:after="40"/>
            </w:pPr>
            <w:r>
              <w:rPr>
                <w:rFonts w:ascii="Verdana" w:cs="Verdana" w:eastAsia="Verdana" w:hAnsi="Verdana"/>
                <w:b/>
                <w:bCs/>
                <w:sz w:val="20"/>
                <w:szCs w:val="20"/>
              </w:rPr>
              <w:t xml:space="preserve">Reading: </w:t>
            </w:r>
            <w:r>
              <w:rPr>
                <w:rFonts w:ascii="Verdana" w:cs="Verdana" w:eastAsia="Verdana" w:hAnsi="Verdana"/>
                <w:sz w:val="20"/>
                <w:szCs w:val="20"/>
              </w:rPr>
              <w:t xml:space="preserve">SP 800-83r1 sections 3 and 4 (detection, containment, eradication of malware).</w:t>
            </w:r>
          </w:p>
          <w:p>
            <w:pPr>
              <w:spacing w:after="40"/>
            </w:pPr>
            <w:r>
              <w:rPr>
                <w:rFonts w:ascii="Verdana" w:cs="Verdana" w:eastAsia="Verdana" w:hAnsi="Verdana"/>
                <w:b/>
                <w:bCs/>
                <w:sz w:val="20"/>
                <w:szCs w:val="20"/>
              </w:rPr>
              <w:t xml:space="preserve">Before the lab: </w:t>
            </w:r>
            <w:r>
              <w:rPr>
                <w:rFonts w:ascii="Verdana" w:cs="Verdana" w:eastAsia="Verdana" w:hAnsi="Verdana"/>
                <w:sz w:val="20"/>
                <w:szCs w:val="20"/>
              </w:rPr>
              <w:t xml:space="preserve">Read the malware triage primer: hashes, signatures, sandbox behaviour, when to stop.</w:t>
            </w:r>
          </w:p>
        </w:tc>
        <w:tc>
          <w:tcPr>
            <w:tcW w:type="dxa" w:w="2900"/>
            <w:tcMar>
              <w:top w:type="dxa" w:w="70"/>
              <w:left w:type="dxa" w:w="110"/>
              <w:bottom w:type="dxa" w:w="70"/>
              <w:right w:type="dxa" w:w="110"/>
            </w:tcMar>
            <w:vAlign w:val="top"/>
          </w:tcPr>
          <w:p>
            <w:pPr>
              <w:spacing w:after="40"/>
            </w:pPr>
            <w:r>
              <w:rPr>
                <w:rFonts w:ascii="Verdana" w:cs="Verdana" w:eastAsia="Verdana" w:hAnsi="Verdana"/>
                <w:b w:val="false"/>
                <w:bCs w:val="false"/>
                <w:sz w:val="20"/>
                <w:szCs w:val="20"/>
              </w:rPr>
              <w:t xml:space="preserve">Lab 4 answers and a written verdict with severity.</w:t>
            </w:r>
          </w:p>
          <w:p>
            <w:pPr>
              <w:spacing w:after="40"/>
            </w:pPr>
            <w:r>
              <w:rPr>
                <w:rFonts w:ascii="Verdana" w:cs="Verdana" w:eastAsia="Verdana" w:hAnsi="Verdana"/>
                <w:b w:val="false"/>
                <w:bCs w:val="false"/>
                <w:sz w:val="20"/>
                <w:szCs w:val="20"/>
              </w:rPr>
              <w:t xml:space="preserve">(Lab 4)</w:t>
            </w:r>
          </w:p>
        </w:tc>
      </w:tr>
      <w:tr>
        <w:trPr>
          <w:cantSplit/>
        </w:trPr>
        <w:tc>
          <w:tcPr>
            <w:tcW w:type="dxa" w:w="700"/>
            <w:tcMar>
              <w:top w:type="dxa" w:w="70"/>
              <w:left w:type="dxa" w:w="110"/>
              <w:bottom w:type="dxa" w:w="70"/>
              <w:right w:type="dxa" w:w="110"/>
            </w:tcMar>
            <w:vAlign w:val="top"/>
          </w:tcPr>
          <w:p>
            <w:pPr>
              <w:spacing w:after="40"/>
            </w:pPr>
            <w:r>
              <w:rPr>
                <w:rFonts w:ascii="Verdana" w:cs="Verdana" w:eastAsia="Verdana" w:hAnsi="Verdana"/>
                <w:b w:val="false"/>
                <w:bCs w:val="false"/>
                <w:sz w:val="20"/>
                <w:szCs w:val="20"/>
              </w:rPr>
              <w:t xml:space="preserve">6</w:t>
            </w:r>
          </w:p>
        </w:tc>
        <w:tc>
          <w:tcPr>
            <w:tcW w:type="dxa" w:w="5760"/>
            <w:tcMar>
              <w:top w:type="dxa" w:w="70"/>
              <w:left w:type="dxa" w:w="110"/>
              <w:bottom w:type="dxa" w:w="70"/>
              <w:right w:type="dxa" w:w="110"/>
            </w:tcMar>
            <w:vAlign w:val="top"/>
          </w:tcPr>
          <w:p>
            <w:pPr>
              <w:spacing w:after="60"/>
            </w:pPr>
            <w:r>
              <w:rPr>
                <w:rFonts w:ascii="Verdana" w:cs="Verdana" w:eastAsia="Verdana" w:hAnsi="Verdana"/>
                <w:b/>
                <w:bCs/>
                <w:sz w:val="20"/>
                <w:szCs w:val="20"/>
              </w:rPr>
              <w:t xml:space="preserve">Lateral movement</w:t>
            </w:r>
          </w:p>
          <w:p>
            <w:pPr>
              <w:spacing w:after="40"/>
            </w:pPr>
            <w:r>
              <w:rPr>
                <w:rFonts w:ascii="Verdana" w:cs="Verdana" w:eastAsia="Verdana" w:hAnsi="Verdana"/>
                <w:b/>
                <w:bCs/>
                <w:sz w:val="20"/>
                <w:szCs w:val="20"/>
              </w:rPr>
              <w:t xml:space="preserve">Topics: </w:t>
            </w:r>
            <w:r>
              <w:rPr>
                <w:rFonts w:ascii="Verdana" w:cs="Verdana" w:eastAsia="Verdana" w:hAnsi="Verdana"/>
                <w:sz w:val="20"/>
                <w:szCs w:val="20"/>
              </w:rPr>
              <w:t xml:space="preserve">Lateral movement in the Windows logs: 4624 logon types, 4648, 7045 service installs, 4698 task creation, and the Run key or Prefetch entry that confirms execution on the far side. Building a scoping table of hosts and accounts reached.</w:t>
            </w:r>
          </w:p>
          <w:p>
            <w:pPr>
              <w:spacing w:after="40"/>
            </w:pPr>
            <w:r>
              <w:rPr>
                <w:rFonts w:ascii="Verdana" w:cs="Verdana" w:eastAsia="Verdana" w:hAnsi="Verdana"/>
                <w:b/>
                <w:bCs/>
                <w:sz w:val="20"/>
                <w:szCs w:val="20"/>
              </w:rPr>
              <w:t xml:space="preserve">Lab: </w:t>
            </w:r>
            <w:r>
              <w:rPr>
                <w:rFonts w:ascii="Verdana" w:cs="Verdana" w:eastAsia="Verdana" w:hAnsi="Verdana"/>
                <w:sz w:val="20"/>
                <w:szCs w:val="20"/>
              </w:rPr>
              <w:t xml:space="preserve">Lateral Move to the File Server (practice, about 60 minutes).</w:t>
            </w:r>
          </w:p>
          <w:p>
            <w:pPr>
              <w:spacing w:after="40"/>
            </w:pPr>
            <w:r>
              <w:rPr>
                <w:rFonts w:ascii="Verdana" w:cs="Verdana" w:eastAsia="Verdana" w:hAnsi="Verdana"/>
                <w:b/>
                <w:bCs/>
                <w:sz w:val="20"/>
                <w:szCs w:val="20"/>
              </w:rPr>
              <w:t xml:space="preserve">In class: </w:t>
            </w:r>
            <w:r>
              <w:rPr>
                <w:rFonts w:ascii="Verdana" w:cs="Verdana" w:eastAsia="Verdana" w:hAnsi="Verdana"/>
                <w:sz w:val="20"/>
                <w:szCs w:val="20"/>
              </w:rPr>
              <w:t xml:space="preserve">The scoping table is what a responder hands to leadership. Build one from the case as a class, then each student builds their own.</w:t>
            </w:r>
          </w:p>
          <w:p>
            <w:pPr>
              <w:spacing w:after="40"/>
            </w:pPr>
            <w:r>
              <w:rPr>
                <w:rFonts w:ascii="Verdana" w:cs="Verdana" w:eastAsia="Verdana" w:hAnsi="Verdana"/>
                <w:b/>
                <w:bCs/>
                <w:sz w:val="20"/>
                <w:szCs w:val="20"/>
              </w:rPr>
              <w:t xml:space="preserve">Reading: </w:t>
            </w:r>
            <w:r>
              <w:rPr>
                <w:rFonts w:ascii="Verdana" w:cs="Verdana" w:eastAsia="Verdana" w:hAnsi="Verdana"/>
                <w:sz w:val="20"/>
                <w:szCs w:val="20"/>
              </w:rPr>
              <w:t xml:space="preserve">Microsoft events to monitor: 4624 logon types, 4648, 7045, 4698. ATT&amp;CK: Lateral Movement, T1021.</w:t>
            </w:r>
          </w:p>
          <w:p>
            <w:pPr>
              <w:spacing w:after="40"/>
            </w:pPr>
            <w:r>
              <w:rPr>
                <w:rFonts w:ascii="Verdana" w:cs="Verdana" w:eastAsia="Verdana" w:hAnsi="Verdana"/>
                <w:b/>
                <w:bCs/>
                <w:sz w:val="20"/>
                <w:szCs w:val="20"/>
              </w:rPr>
              <w:t xml:space="preserve">Before the lab: </w:t>
            </w:r>
            <w:r>
              <w:rPr>
                <w:rFonts w:ascii="Verdana" w:cs="Verdana" w:eastAsia="Verdana" w:hAnsi="Verdana"/>
                <w:sz w:val="20"/>
                <w:szCs w:val="20"/>
              </w:rPr>
              <w:t xml:space="preserve">Install EvtxECmd and Timeline Explorer. Read the lateral movement primer: 4624 logon types, 7045, 4698.</w:t>
            </w:r>
          </w:p>
        </w:tc>
        <w:tc>
          <w:tcPr>
            <w:tcW w:type="dxa" w:w="2900"/>
            <w:tcMar>
              <w:top w:type="dxa" w:w="70"/>
              <w:left w:type="dxa" w:w="110"/>
              <w:bottom w:type="dxa" w:w="70"/>
              <w:right w:type="dxa" w:w="110"/>
            </w:tcMar>
            <w:vAlign w:val="top"/>
          </w:tcPr>
          <w:p>
            <w:pPr>
              <w:spacing w:after="40"/>
            </w:pPr>
            <w:r>
              <w:rPr>
                <w:rFonts w:ascii="Verdana" w:cs="Verdana" w:eastAsia="Verdana" w:hAnsi="Verdana"/>
                <w:b w:val="false"/>
                <w:bCs w:val="false"/>
                <w:sz w:val="20"/>
                <w:szCs w:val="20"/>
              </w:rPr>
              <w:t xml:space="preserve">Lab 5 answers and a scoping table of hosts reached, with the evidence for each row.</w:t>
            </w:r>
          </w:p>
          <w:p>
            <w:pPr>
              <w:spacing w:after="40"/>
            </w:pPr>
            <w:r>
              <w:rPr>
                <w:rFonts w:ascii="Verdana" w:cs="Verdana" w:eastAsia="Verdana" w:hAnsi="Verdana"/>
                <w:b w:val="false"/>
                <w:bCs w:val="false"/>
                <w:sz w:val="20"/>
                <w:szCs w:val="20"/>
              </w:rPr>
              <w:t xml:space="preserve">(Lab 5)</w:t>
            </w:r>
          </w:p>
        </w:tc>
      </w:tr>
    </w:tbl>
    <w:p>
      <w:pPr>
        <w:keepNext/>
        <w:spacing w:after="80" w:before="240"/>
      </w:pPr>
      <w:r>
        <w:rPr>
          <w:rFonts w:ascii="Verdana" w:cs="Verdana" w:eastAsia="Verdana" w:hAnsi="Verdana"/>
          <w:b/>
          <w:bCs/>
          <w:sz w:val="24"/>
          <w:szCs w:val="24"/>
        </w:rPr>
        <w:t xml:space="preserve">Module 4: Drill: business email compromise</w:t>
      </w:r>
    </w:p>
    <w:p>
      <w:pPr>
        <w:keepNext/>
        <w:spacing w:after="160"/>
      </w:pPr>
      <w:r>
        <w:rPr>
          <w:rFonts w:ascii="Verdana" w:cs="Verdana" w:eastAsia="Verdana" w:hAnsi="Verdana"/>
          <w:sz w:val="24"/>
          <w:szCs w:val="24"/>
        </w:rPr>
        <w:t xml:space="preserve">The second timed drill. A fraudulent wire request traced through mail and sign-in evidence, ending with what to revoke first.</w:t>
      </w:r>
    </w:p>
    <w:p>
      <w:pPr>
        <w:keepNext/>
        <w:spacing w:after="120"/>
      </w:pPr>
      <w:r>
        <w:rPr>
          <w:rFonts w:ascii="Verdana" w:cs="Verdana" w:eastAsia="Verdana" w:hAnsi="Verdana"/>
          <w:b/>
          <w:bCs/>
          <w:sz w:val="20"/>
          <w:szCs w:val="20"/>
        </w:rPr>
        <w:t xml:space="preserve">Module link: </w:t>
      </w:r>
      <w:r>
        <w:rPr>
          <w:rFonts w:ascii="Verdana" w:cs="Verdana" w:eastAsia="Verdana" w:hAnsi="Verdana"/>
          <w:sz w:val="20"/>
          <w:szCs w:val="20"/>
        </w:rPr>
        <w:t xml:space="preserve">[CLARK module link]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760"/>
        <w:gridCol w:w="2900"/>
      </w:tblGrid>
      <w:tr>
        <w:trPr>
          <w:tblHeader/>
        </w:trPr>
        <w:tc>
          <w:tcPr>
            <w:tcW w:type="dxa" w:w="700"/>
            <w:shd w:fill="E7E6E6" w:color="auto" w:val="clear"/>
            <w:tcMar>
              <w:top w:type="dxa" w:w="70"/>
              <w:left w:type="dxa" w:w="110"/>
              <w:bottom w:type="dxa" w:w="70"/>
              <w:right w:type="dxa" w:w="110"/>
            </w:tcMar>
            <w:vAlign w:val="top"/>
          </w:tcPr>
          <w:p>
            <w:pPr>
              <w:spacing w:after="40"/>
            </w:pPr>
            <w:r>
              <w:rPr>
                <w:rFonts w:ascii="Verdana" w:cs="Verdana" w:eastAsia="Verdana" w:hAnsi="Verdana"/>
                <w:b/>
                <w:bCs/>
                <w:sz w:val="20"/>
                <w:szCs w:val="20"/>
              </w:rPr>
              <w:t xml:space="preserve">Week</w:t>
            </w:r>
          </w:p>
        </w:tc>
        <w:tc>
          <w:tcPr>
            <w:tcW w:type="dxa" w:w="5760"/>
            <w:shd w:fill="E7E6E6" w:color="auto" w:val="clear"/>
            <w:tcMar>
              <w:top w:type="dxa" w:w="70"/>
              <w:left w:type="dxa" w:w="110"/>
              <w:bottom w:type="dxa" w:w="70"/>
              <w:right w:type="dxa" w:w="110"/>
            </w:tcMar>
            <w:vAlign w:val="top"/>
          </w:tcPr>
          <w:p>
            <w:pPr>
              <w:spacing w:after="40"/>
            </w:pPr>
            <w:r>
              <w:rPr>
                <w:rFonts w:ascii="Verdana" w:cs="Verdana" w:eastAsia="Verdana" w:hAnsi="Verdana"/>
                <w:b/>
                <w:bCs/>
                <w:sz w:val="20"/>
                <w:szCs w:val="20"/>
              </w:rPr>
              <w:t xml:space="preserve">Lessons</w:t>
            </w:r>
          </w:p>
        </w:tc>
        <w:tc>
          <w:tcPr>
            <w:tcW w:type="dxa" w:w="2900"/>
            <w:shd w:fill="E7E6E6" w:color="auto" w:val="clear"/>
            <w:tcMar>
              <w:top w:type="dxa" w:w="70"/>
              <w:left w:type="dxa" w:w="110"/>
              <w:bottom w:type="dxa" w:w="70"/>
              <w:right w:type="dxa" w:w="110"/>
            </w:tcMar>
            <w:vAlign w:val="top"/>
          </w:tcPr>
          <w:p>
            <w:pPr>
              <w:spacing w:after="40"/>
            </w:pPr>
            <w:r>
              <w:rPr>
                <w:rFonts w:ascii="Verdana" w:cs="Verdana" w:eastAsia="Verdana" w:hAnsi="Verdana"/>
                <w:b/>
                <w:bCs/>
                <w:sz w:val="20"/>
                <w:szCs w:val="20"/>
              </w:rPr>
              <w:t xml:space="preserve">Assignments due</w:t>
            </w:r>
          </w:p>
        </w:tc>
      </w:tr>
      <w:tr>
        <w:trPr>
          <w:cantSplit/>
        </w:trPr>
        <w:tc>
          <w:tcPr>
            <w:tcW w:type="dxa" w:w="700"/>
            <w:tcMar>
              <w:top w:type="dxa" w:w="70"/>
              <w:left w:type="dxa" w:w="110"/>
              <w:bottom w:type="dxa" w:w="70"/>
              <w:right w:type="dxa" w:w="110"/>
            </w:tcMar>
            <w:vAlign w:val="top"/>
          </w:tcPr>
          <w:p>
            <w:pPr>
              <w:spacing w:after="40"/>
            </w:pPr>
            <w:r>
              <w:rPr>
                <w:rFonts w:ascii="Verdana" w:cs="Verdana" w:eastAsia="Verdana" w:hAnsi="Verdana"/>
                <w:b w:val="false"/>
                <w:bCs w:val="false"/>
                <w:sz w:val="20"/>
                <w:szCs w:val="20"/>
              </w:rPr>
              <w:t xml:space="preserve">7</w:t>
            </w:r>
          </w:p>
        </w:tc>
        <w:tc>
          <w:tcPr>
            <w:tcW w:type="dxa" w:w="5760"/>
            <w:tcMar>
              <w:top w:type="dxa" w:w="70"/>
              <w:left w:type="dxa" w:w="110"/>
              <w:bottom w:type="dxa" w:w="70"/>
              <w:right w:type="dxa" w:w="110"/>
            </w:tcMar>
            <w:vAlign w:val="top"/>
          </w:tcPr>
          <w:p>
            <w:pPr>
              <w:spacing w:after="60"/>
            </w:pPr>
            <w:r>
              <w:rPr>
                <w:rFonts w:ascii="Verdana" w:cs="Verdana" w:eastAsia="Verdana" w:hAnsi="Verdana"/>
                <w:b/>
                <w:bCs/>
                <w:sz w:val="20"/>
                <w:szCs w:val="20"/>
              </w:rPr>
              <w:t xml:space="preserve">Business email compromise</w:t>
            </w:r>
          </w:p>
          <w:p>
            <w:pPr>
              <w:spacing w:after="40"/>
            </w:pPr>
            <w:r>
              <w:rPr>
                <w:rFonts w:ascii="Verdana" w:cs="Verdana" w:eastAsia="Verdana" w:hAnsi="Verdana"/>
                <w:b/>
                <w:bCs/>
                <w:sz w:val="20"/>
                <w:szCs w:val="20"/>
              </w:rPr>
              <w:t xml:space="preserve">Topics: </w:t>
            </w:r>
            <w:r>
              <w:rPr>
                <w:rFonts w:ascii="Verdana" w:cs="Verdana" w:eastAsia="Verdana" w:hAnsi="Verdana"/>
                <w:sz w:val="20"/>
                <w:szCs w:val="20"/>
              </w:rPr>
              <w:t xml:space="preserve">Business email compromise: inbox rules, OAuth consents, impossible-travel sign-ins, lookalike domains. The order of revocation when a wire is pending. The drill runs in exam mode.</w:t>
            </w:r>
          </w:p>
          <w:p>
            <w:pPr>
              <w:spacing w:after="40"/>
            </w:pPr>
            <w:r>
              <w:rPr>
                <w:rFonts w:ascii="Verdana" w:cs="Verdana" w:eastAsia="Verdana" w:hAnsi="Verdana"/>
                <w:b/>
                <w:bCs/>
                <w:sz w:val="20"/>
                <w:szCs w:val="20"/>
              </w:rPr>
              <w:t xml:space="preserve">Lab: </w:t>
            </w:r>
            <w:r>
              <w:rPr>
                <w:rFonts w:ascii="Verdana" w:cs="Verdana" w:eastAsia="Verdana" w:hAnsi="Verdana"/>
                <w:sz w:val="20"/>
                <w:szCs w:val="20"/>
              </w:rPr>
              <w:t xml:space="preserve">Business Email Compromise: Wire Fraud (timed exam, 45 minutes).</w:t>
            </w:r>
          </w:p>
          <w:p>
            <w:pPr>
              <w:spacing w:after="40"/>
            </w:pPr>
            <w:r>
              <w:rPr>
                <w:rFonts w:ascii="Verdana" w:cs="Verdana" w:eastAsia="Verdana" w:hAnsi="Verdana"/>
                <w:b/>
                <w:bCs/>
                <w:sz w:val="20"/>
                <w:szCs w:val="20"/>
              </w:rPr>
              <w:t xml:space="preserve">In class: </w:t>
            </w:r>
            <w:r>
              <w:rPr>
                <w:rFonts w:ascii="Verdana" w:cs="Verdana" w:eastAsia="Verdana" w:hAnsi="Verdana"/>
                <w:sz w:val="20"/>
                <w:szCs w:val="20"/>
              </w:rPr>
              <w:t xml:space="preserve">Drill 2: wire fraud, 45 minutes. Debrief on what people revoked first and what they would do differently.</w:t>
            </w:r>
          </w:p>
          <w:p>
            <w:pPr>
              <w:spacing w:after="40"/>
            </w:pPr>
            <w:r>
              <w:rPr>
                <w:rFonts w:ascii="Verdana" w:cs="Verdana" w:eastAsia="Verdana" w:hAnsi="Verdana"/>
                <w:b/>
                <w:bCs/>
                <w:sz w:val="20"/>
                <w:szCs w:val="20"/>
              </w:rPr>
              <w:t xml:space="preserve">Reading: </w:t>
            </w:r>
            <w:r>
              <w:rPr>
                <w:rFonts w:ascii="Verdana" w:cs="Verdana" w:eastAsia="Verdana" w:hAnsi="Verdana"/>
                <w:sz w:val="20"/>
                <w:szCs w:val="20"/>
              </w:rPr>
              <w:t xml:space="preserve">Microsoft: responding to a compromised email account. ATT&amp;CK: T1114 and T1564.008.</w:t>
            </w:r>
          </w:p>
          <w:p>
            <w:pPr>
              <w:spacing w:after="40"/>
            </w:pPr>
            <w:r>
              <w:rPr>
                <w:rFonts w:ascii="Verdana" w:cs="Verdana" w:eastAsia="Verdana" w:hAnsi="Verdana"/>
                <w:b/>
                <w:bCs/>
                <w:sz w:val="20"/>
                <w:szCs w:val="20"/>
              </w:rPr>
              <w:t xml:space="preserve">Before the lab: </w:t>
            </w:r>
            <w:r>
              <w:rPr>
                <w:rFonts w:ascii="Verdana" w:cs="Verdana" w:eastAsia="Verdana" w:hAnsi="Verdana"/>
                <w:sz w:val="20"/>
                <w:szCs w:val="20"/>
              </w:rPr>
              <w:t xml:space="preserve">Read the BEC primer: mailbox rules, OAuth consents, impossible travel.</w:t>
            </w:r>
          </w:p>
        </w:tc>
        <w:tc>
          <w:tcPr>
            <w:tcW w:type="dxa" w:w="2900"/>
            <w:tcMar>
              <w:top w:type="dxa" w:w="70"/>
              <w:left w:type="dxa" w:w="110"/>
              <w:bottom w:type="dxa" w:w="70"/>
              <w:right w:type="dxa" w:w="110"/>
            </w:tcMar>
            <w:vAlign w:val="top"/>
          </w:tcPr>
          <w:p>
            <w:pPr>
              <w:spacing w:after="40"/>
            </w:pPr>
            <w:r>
              <w:rPr>
                <w:rFonts w:ascii="Verdana" w:cs="Verdana" w:eastAsia="Verdana" w:hAnsi="Verdana"/>
                <w:b w:val="false"/>
                <w:bCs w:val="false"/>
                <w:sz w:val="20"/>
                <w:szCs w:val="20"/>
              </w:rPr>
              <w:t xml:space="preserve">Drill 2 submitted in the portal within 45 minutes, including what to revoke first and why.</w:t>
            </w:r>
          </w:p>
          <w:p>
            <w:pPr>
              <w:spacing w:after="40"/>
            </w:pPr>
            <w:r>
              <w:rPr>
                <w:rFonts w:ascii="Verdana" w:cs="Verdana" w:eastAsia="Verdana" w:hAnsi="Verdana"/>
                <w:b w:val="false"/>
                <w:bCs w:val="false"/>
                <w:sz w:val="20"/>
                <w:szCs w:val="20"/>
              </w:rPr>
              <w:t xml:space="preserve">(Drill 2 (15%))</w:t>
            </w:r>
          </w:p>
        </w:tc>
      </w:tr>
    </w:tbl>
    <w:p>
      <w:pPr>
        <w:keepNext/>
        <w:spacing w:after="80" w:before="240"/>
      </w:pPr>
      <w:r>
        <w:rPr>
          <w:rFonts w:ascii="Verdana" w:cs="Verdana" w:eastAsia="Verdana" w:hAnsi="Verdana"/>
          <w:b/>
          <w:bCs/>
          <w:sz w:val="24"/>
          <w:szCs w:val="24"/>
        </w:rPr>
        <w:t xml:space="preserve">Module 5: Final incident</w:t>
      </w:r>
    </w:p>
    <w:p>
      <w:pPr>
        <w:keepNext/>
        <w:spacing w:after="160"/>
      </w:pPr>
      <w:r>
        <w:rPr>
          <w:rFonts w:ascii="Verdana" w:cs="Verdana" w:eastAsia="Verdana" w:hAnsi="Verdana"/>
          <w:sz w:val="24"/>
          <w:szCs w:val="24"/>
        </w:rPr>
        <w:t xml:space="preserve">A ransomware chain caught in progress, worked end to end in 90 minutes, followed by the breach report.</w:t>
      </w:r>
    </w:p>
    <w:p>
      <w:pPr>
        <w:keepNext/>
        <w:spacing w:after="120"/>
      </w:pPr>
      <w:r>
        <w:rPr>
          <w:rFonts w:ascii="Verdana" w:cs="Verdana" w:eastAsia="Verdana" w:hAnsi="Verdana"/>
          <w:b/>
          <w:bCs/>
          <w:sz w:val="20"/>
          <w:szCs w:val="20"/>
        </w:rPr>
        <w:t xml:space="preserve">Module link: </w:t>
      </w:r>
      <w:r>
        <w:rPr>
          <w:rFonts w:ascii="Verdana" w:cs="Verdana" w:eastAsia="Verdana" w:hAnsi="Verdana"/>
          <w:sz w:val="20"/>
          <w:szCs w:val="20"/>
        </w:rPr>
        <w:t xml:space="preserve">[CLARK module link]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760"/>
        <w:gridCol w:w="2900"/>
      </w:tblGrid>
      <w:tr>
        <w:trPr>
          <w:tblHeader/>
        </w:trPr>
        <w:tc>
          <w:tcPr>
            <w:tcW w:type="dxa" w:w="700"/>
            <w:shd w:fill="E7E6E6" w:color="auto" w:val="clear"/>
            <w:tcMar>
              <w:top w:type="dxa" w:w="70"/>
              <w:left w:type="dxa" w:w="110"/>
              <w:bottom w:type="dxa" w:w="70"/>
              <w:right w:type="dxa" w:w="110"/>
            </w:tcMar>
            <w:vAlign w:val="top"/>
          </w:tcPr>
          <w:p>
            <w:pPr>
              <w:spacing w:after="40"/>
            </w:pPr>
            <w:r>
              <w:rPr>
                <w:rFonts w:ascii="Verdana" w:cs="Verdana" w:eastAsia="Verdana" w:hAnsi="Verdana"/>
                <w:b/>
                <w:bCs/>
                <w:sz w:val="20"/>
                <w:szCs w:val="20"/>
              </w:rPr>
              <w:t xml:space="preserve">Week</w:t>
            </w:r>
          </w:p>
        </w:tc>
        <w:tc>
          <w:tcPr>
            <w:tcW w:type="dxa" w:w="5760"/>
            <w:shd w:fill="E7E6E6" w:color="auto" w:val="clear"/>
            <w:tcMar>
              <w:top w:type="dxa" w:w="70"/>
              <w:left w:type="dxa" w:w="110"/>
              <w:bottom w:type="dxa" w:w="70"/>
              <w:right w:type="dxa" w:w="110"/>
            </w:tcMar>
            <w:vAlign w:val="top"/>
          </w:tcPr>
          <w:p>
            <w:pPr>
              <w:spacing w:after="40"/>
            </w:pPr>
            <w:r>
              <w:rPr>
                <w:rFonts w:ascii="Verdana" w:cs="Verdana" w:eastAsia="Verdana" w:hAnsi="Verdana"/>
                <w:b/>
                <w:bCs/>
                <w:sz w:val="20"/>
                <w:szCs w:val="20"/>
              </w:rPr>
              <w:t xml:space="preserve">Lessons</w:t>
            </w:r>
          </w:p>
        </w:tc>
        <w:tc>
          <w:tcPr>
            <w:tcW w:type="dxa" w:w="2900"/>
            <w:shd w:fill="E7E6E6" w:color="auto" w:val="clear"/>
            <w:tcMar>
              <w:top w:type="dxa" w:w="70"/>
              <w:left w:type="dxa" w:w="110"/>
              <w:bottom w:type="dxa" w:w="70"/>
              <w:right w:type="dxa" w:w="110"/>
            </w:tcMar>
            <w:vAlign w:val="top"/>
          </w:tcPr>
          <w:p>
            <w:pPr>
              <w:spacing w:after="40"/>
            </w:pPr>
            <w:r>
              <w:rPr>
                <w:rFonts w:ascii="Verdana" w:cs="Verdana" w:eastAsia="Verdana" w:hAnsi="Verdana"/>
                <w:b/>
                <w:bCs/>
                <w:sz w:val="20"/>
                <w:szCs w:val="20"/>
              </w:rPr>
              <w:t xml:space="preserve">Assignments due</w:t>
            </w:r>
          </w:p>
        </w:tc>
      </w:tr>
      <w:tr>
        <w:trPr>
          <w:cantSplit/>
        </w:trPr>
        <w:tc>
          <w:tcPr>
            <w:tcW w:type="dxa" w:w="700"/>
            <w:tcMar>
              <w:top w:type="dxa" w:w="70"/>
              <w:left w:type="dxa" w:w="110"/>
              <w:bottom w:type="dxa" w:w="70"/>
              <w:right w:type="dxa" w:w="110"/>
            </w:tcMar>
            <w:vAlign w:val="top"/>
          </w:tcPr>
          <w:p>
            <w:pPr>
              <w:spacing w:after="40"/>
            </w:pPr>
            <w:r>
              <w:rPr>
                <w:rFonts w:ascii="Verdana" w:cs="Verdana" w:eastAsia="Verdana" w:hAnsi="Verdana"/>
                <w:b w:val="false"/>
                <w:bCs w:val="false"/>
                <w:sz w:val="20"/>
                <w:szCs w:val="20"/>
              </w:rPr>
              <w:t xml:space="preserve">8</w:t>
            </w:r>
          </w:p>
        </w:tc>
        <w:tc>
          <w:tcPr>
            <w:tcW w:type="dxa" w:w="5760"/>
            <w:tcMar>
              <w:top w:type="dxa" w:w="70"/>
              <w:left w:type="dxa" w:w="110"/>
              <w:bottom w:type="dxa" w:w="70"/>
              <w:right w:type="dxa" w:w="110"/>
            </w:tcMar>
            <w:vAlign w:val="top"/>
          </w:tcPr>
          <w:p>
            <w:pPr>
              <w:spacing w:after="60"/>
            </w:pPr>
            <w:r>
              <w:rPr>
                <w:rFonts w:ascii="Verdana" w:cs="Verdana" w:eastAsia="Verdana" w:hAnsi="Verdana"/>
                <w:b/>
                <w:bCs/>
                <w:sz w:val="20"/>
                <w:szCs w:val="20"/>
              </w:rPr>
              <w:t xml:space="preserve">Final incident: ransomware</w:t>
            </w:r>
          </w:p>
          <w:p>
            <w:pPr>
              <w:spacing w:after="40"/>
            </w:pPr>
            <w:r>
              <w:rPr>
                <w:rFonts w:ascii="Verdana" w:cs="Verdana" w:eastAsia="Verdana" w:hAnsi="Verdana"/>
                <w:b/>
                <w:bCs/>
                <w:sz w:val="20"/>
                <w:szCs w:val="20"/>
              </w:rPr>
              <w:t xml:space="preserve">Topics: </w:t>
            </w:r>
            <w:r>
              <w:rPr>
                <w:rFonts w:ascii="Verdana" w:cs="Verdana" w:eastAsia="Verdana" w:hAnsi="Verdana"/>
                <w:sz w:val="20"/>
                <w:szCs w:val="20"/>
              </w:rPr>
              <w:t xml:space="preserve">The #StopRansomware response checklist. Scoping from first access to impact while the locker is still running. Containment, eradication and recovery as ordered actions. The breach report: page one for a manager, detail after.</w:t>
            </w:r>
          </w:p>
          <w:p>
            <w:pPr>
              <w:spacing w:after="40"/>
            </w:pPr>
            <w:r>
              <w:rPr>
                <w:rFonts w:ascii="Verdana" w:cs="Verdana" w:eastAsia="Verdana" w:hAnsi="Verdana"/>
                <w:b/>
                <w:bCs/>
                <w:sz w:val="20"/>
                <w:szCs w:val="20"/>
              </w:rPr>
              <w:t xml:space="preserve">Lab: </w:t>
            </w:r>
            <w:r>
              <w:rPr>
                <w:rFonts w:ascii="Verdana" w:cs="Verdana" w:eastAsia="Verdana" w:hAnsi="Verdana"/>
                <w:sz w:val="20"/>
                <w:szCs w:val="20"/>
              </w:rPr>
              <w:t xml:space="preserve">Ransomware Before Coffee (timed exam, 90 minutes).</w:t>
            </w:r>
          </w:p>
          <w:p>
            <w:pPr>
              <w:spacing w:after="40"/>
            </w:pPr>
            <w:r>
              <w:rPr>
                <w:rFonts w:ascii="Verdana" w:cs="Verdana" w:eastAsia="Verdana" w:hAnsi="Verdana"/>
                <w:b/>
                <w:bCs/>
                <w:sz w:val="20"/>
                <w:szCs w:val="20"/>
              </w:rPr>
              <w:t xml:space="preserve">In class: </w:t>
            </w:r>
            <w:r>
              <w:rPr>
                <w:rFonts w:ascii="Verdana" w:cs="Verdana" w:eastAsia="Verdana" w:hAnsi="Verdana"/>
                <w:sz w:val="20"/>
                <w:szCs w:val="20"/>
              </w:rPr>
              <w:t xml:space="preserve">Final incident: ransomware on a finance workstation, 90 minutes, run with the report question set.</w:t>
            </w:r>
          </w:p>
          <w:p>
            <w:pPr>
              <w:spacing w:after="40"/>
            </w:pPr>
            <w:r>
              <w:rPr>
                <w:rFonts w:ascii="Verdana" w:cs="Verdana" w:eastAsia="Verdana" w:hAnsi="Verdana"/>
                <w:b/>
                <w:bCs/>
                <w:sz w:val="20"/>
                <w:szCs w:val="20"/>
              </w:rPr>
              <w:t xml:space="preserve">Reading: </w:t>
            </w:r>
            <w:r>
              <w:rPr>
                <w:rFonts w:ascii="Verdana" w:cs="Verdana" w:eastAsia="Verdana" w:hAnsi="Verdana"/>
                <w:sz w:val="20"/>
                <w:szCs w:val="20"/>
              </w:rPr>
              <w:t xml:space="preserve">SP 800-61r2 sections 3.3 to 3.4 and the #StopRansomware Guide response checklist. ENISA guide on reporting.</w:t>
            </w:r>
          </w:p>
          <w:p>
            <w:pPr>
              <w:spacing w:after="40"/>
            </w:pPr>
            <w:r>
              <w:rPr>
                <w:rFonts w:ascii="Verdana" w:cs="Verdana" w:eastAsia="Verdana" w:hAnsi="Verdana"/>
                <w:b/>
                <w:bCs/>
                <w:sz w:val="20"/>
                <w:szCs w:val="20"/>
              </w:rPr>
              <w:t xml:space="preserve">Before the lab: </w:t>
            </w:r>
            <w:r>
              <w:rPr>
                <w:rFonts w:ascii="Verdana" w:cs="Verdana" w:eastAsia="Verdana" w:hAnsi="Verdana"/>
                <w:sz w:val="20"/>
                <w:szCs w:val="20"/>
              </w:rPr>
              <w:t xml:space="preserve">Review every week. Read the breach report template and rubric.</w:t>
            </w:r>
          </w:p>
        </w:tc>
        <w:tc>
          <w:tcPr>
            <w:tcW w:type="dxa" w:w="2900"/>
            <w:tcMar>
              <w:top w:type="dxa" w:w="70"/>
              <w:left w:type="dxa" w:w="110"/>
              <w:bottom w:type="dxa" w:w="70"/>
              <w:right w:type="dxa" w:w="110"/>
            </w:tcMar>
            <w:vAlign w:val="top"/>
          </w:tcPr>
          <w:p>
            <w:pPr>
              <w:spacing w:after="40"/>
            </w:pPr>
            <w:r>
              <w:rPr>
                <w:rFonts w:ascii="Verdana" w:cs="Verdana" w:eastAsia="Verdana" w:hAnsi="Verdana"/>
                <w:b w:val="false"/>
                <w:bCs w:val="false"/>
                <w:sz w:val="20"/>
                <w:szCs w:val="20"/>
              </w:rPr>
              <w:t xml:space="preserve">Final incident submitted within 90 minutes. Breach report due one week later, graded with the rubric above.</w:t>
            </w:r>
          </w:p>
          <w:p>
            <w:pPr>
              <w:spacing w:after="40"/>
            </w:pPr>
            <w:r>
              <w:rPr>
                <w:rFonts w:ascii="Verdana" w:cs="Verdana" w:eastAsia="Verdana" w:hAnsi="Verdana"/>
                <w:b w:val="false"/>
                <w:bCs w:val="false"/>
                <w:sz w:val="20"/>
                <w:szCs w:val="20"/>
              </w:rPr>
              <w:t xml:space="preserve">(Final 20%)</w:t>
            </w:r>
          </w:p>
        </w:tc>
      </w:tr>
    </w:tbl>
    <w:p>
      <w:pPr>
        <w:keepNext/>
        <w:spacing w:after="120" w:before="280"/>
      </w:pPr>
      <w:r>
        <w:rPr>
          <w:rFonts w:ascii="Verdana" w:cs="Verdana" w:eastAsia="Verdana" w:hAnsi="Verdana"/>
          <w:b/>
          <w:bCs/>
          <w:sz w:val="24"/>
          <w:szCs w:val="24"/>
        </w:rPr>
        <w:t xml:space="preserve">Curriculum alignment</w:t>
      </w:r>
    </w:p>
    <w:p>
      <w:pPr>
        <w:spacing w:after="160"/>
      </w:pPr>
      <w:r>
        <w:rPr>
          <w:rFonts w:ascii="Verdana" w:cs="Verdana" w:eastAsia="Verdana" w:hAnsi="Verdana"/>
          <w:sz w:val="24"/>
          <w:szCs w:val="24"/>
        </w:rPr>
        <w:t xml:space="preserve">For programs that map courses to a framework. These are the mappings the course was written against; confirm them against the current versions before listing them in a program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shd w:fill="E7E6E6" w:color="auto" w:val="clear"/>
            <w:tcMar>
              <w:top w:type="dxa" w:w="70"/>
              <w:left w:type="dxa" w:w="110"/>
              <w:bottom w:type="dxa" w:w="70"/>
              <w:right w:type="dxa" w:w="110"/>
            </w:tcMar>
            <w:vAlign w:val="top"/>
          </w:tcPr>
          <w:p>
            <w:pPr>
              <w:spacing w:after="40"/>
            </w:pPr>
            <w:r>
              <w:rPr>
                <w:rFonts w:ascii="Verdana" w:cs="Verdana" w:eastAsia="Verdana" w:hAnsi="Verdana"/>
                <w:b/>
                <w:bCs/>
                <w:sz w:val="20"/>
                <w:szCs w:val="20"/>
              </w:rPr>
              <w:t xml:space="preserve">Framework</w:t>
            </w:r>
          </w:p>
        </w:tc>
        <w:tc>
          <w:tcPr>
            <w:tcW w:type="dxa" w:w="5960"/>
            <w:shd w:fill="E7E6E6" w:color="auto" w:val="clear"/>
            <w:tcMar>
              <w:top w:type="dxa" w:w="70"/>
              <w:left w:type="dxa" w:w="110"/>
              <w:bottom w:type="dxa" w:w="70"/>
              <w:right w:type="dxa" w:w="110"/>
            </w:tcMar>
            <w:vAlign w:val="top"/>
          </w:tcPr>
          <w:p>
            <w:pPr>
              <w:spacing w:after="40"/>
            </w:pPr>
            <w:r>
              <w:rPr>
                <w:rFonts w:ascii="Verdana" w:cs="Verdana" w:eastAsia="Verdana" w:hAnsi="Verdana"/>
                <w:b/>
                <w:bCs/>
                <w:sz w:val="20"/>
                <w:szCs w:val="20"/>
              </w:rPr>
              <w:t xml:space="preserve">Coverage</w:t>
            </w:r>
          </w:p>
        </w:tc>
      </w:tr>
      <w:tr>
        <w:trPr>
          <w:cantSplit/>
        </w:trPr>
        <w:tc>
          <w:tcPr>
            <w:tcW w:type="dxa" w:w="3400"/>
            <w:tcMar>
              <w:top w:type="dxa" w:w="70"/>
              <w:left w:type="dxa" w:w="110"/>
              <w:bottom w:type="dxa" w:w="70"/>
              <w:right w:type="dxa" w:w="110"/>
            </w:tcMar>
            <w:vAlign w:val="top"/>
          </w:tcPr>
          <w:p>
            <w:pPr>
              <w:spacing w:after="40"/>
            </w:pPr>
            <w:r>
              <w:rPr>
                <w:rFonts w:ascii="Verdana" w:cs="Verdana" w:eastAsia="Verdana" w:hAnsi="Verdana"/>
                <w:b w:val="false"/>
                <w:bCs w:val="false"/>
                <w:sz w:val="20"/>
                <w:szCs w:val="20"/>
              </w:rPr>
              <w:t xml:space="preserve">CAE-CD knowledge units (suggested; confirm against the current KU list)</w:t>
            </w:r>
          </w:p>
        </w:tc>
        <w:tc>
          <w:tcPr>
            <w:tcW w:type="dxa" w:w="5960"/>
            <w:tcMar>
              <w:top w:type="dxa" w:w="70"/>
              <w:left w:type="dxa" w:w="110"/>
              <w:bottom w:type="dxa" w:w="70"/>
              <w:right w:type="dxa" w:w="110"/>
            </w:tcMar>
            <w:vAlign w:val="top"/>
          </w:tcPr>
          <w:p>
            <w:pPr>
              <w:spacing w:after="40"/>
            </w:pPr>
            <w:r>
              <w:rPr>
                <w:rFonts w:ascii="Verdana" w:cs="Verdana" w:eastAsia="Verdana" w:hAnsi="Verdana"/>
                <w:b w:val="false"/>
                <w:bCs w:val="false"/>
                <w:sz w:val="20"/>
                <w:szCs w:val="20"/>
              </w:rPr>
              <w:t xml:space="preserve">Cyber Defense (CDE); Network Defense (NDF); Digital Forensics (DFS); Cyber Threats (CTH)</w:t>
            </w:r>
          </w:p>
        </w:tc>
      </w:tr>
      <w:tr>
        <w:trPr>
          <w:cantSplit/>
        </w:trPr>
        <w:tc>
          <w:tcPr>
            <w:tcW w:type="dxa" w:w="3400"/>
            <w:tcMar>
              <w:top w:type="dxa" w:w="70"/>
              <w:left w:type="dxa" w:w="110"/>
              <w:bottom w:type="dxa" w:w="70"/>
              <w:right w:type="dxa" w:w="110"/>
            </w:tcMar>
            <w:vAlign w:val="top"/>
          </w:tcPr>
          <w:p>
            <w:pPr>
              <w:spacing w:after="40"/>
            </w:pPr>
            <w:r>
              <w:rPr>
                <w:rFonts w:ascii="Verdana" w:cs="Verdana" w:eastAsia="Verdana" w:hAnsi="Verdana"/>
                <w:b w:val="false"/>
                <w:bCs w:val="false"/>
                <w:sz w:val="20"/>
                <w:szCs w:val="20"/>
              </w:rPr>
              <w:t xml:space="preserve">NICE Workforce Framework work roles</w:t>
            </w:r>
          </w:p>
        </w:tc>
        <w:tc>
          <w:tcPr>
            <w:tcW w:type="dxa" w:w="5960"/>
            <w:tcMar>
              <w:top w:type="dxa" w:w="70"/>
              <w:left w:type="dxa" w:w="110"/>
              <w:bottom w:type="dxa" w:w="70"/>
              <w:right w:type="dxa" w:w="110"/>
            </w:tcMar>
            <w:vAlign w:val="top"/>
          </w:tcPr>
          <w:p>
            <w:pPr>
              <w:spacing w:after="40"/>
            </w:pPr>
            <w:r>
              <w:rPr>
                <w:rFonts w:ascii="Verdana" w:cs="Verdana" w:eastAsia="Verdana" w:hAnsi="Verdana"/>
                <w:b w:val="false"/>
                <w:bCs w:val="false"/>
                <w:sz w:val="20"/>
                <w:szCs w:val="20"/>
              </w:rPr>
              <w:t xml:space="preserve">Incident Response (formerly Cyber Defense Incident Responder); Defensive Cybersecurity (formerly Cyber Defense Analyst)</w:t>
            </w:r>
          </w:p>
        </w:tc>
      </w:tr>
      <w:tr>
        <w:trPr>
          <w:cantSplit/>
        </w:trPr>
        <w:tc>
          <w:tcPr>
            <w:tcW w:type="dxa" w:w="3400"/>
            <w:tcMar>
              <w:top w:type="dxa" w:w="70"/>
              <w:left w:type="dxa" w:w="110"/>
              <w:bottom w:type="dxa" w:w="70"/>
              <w:right w:type="dxa" w:w="110"/>
            </w:tcMar>
            <w:vAlign w:val="top"/>
          </w:tcPr>
          <w:p>
            <w:pPr>
              <w:spacing w:after="40"/>
            </w:pPr>
            <w:r>
              <w:rPr>
                <w:rFonts w:ascii="Verdana" w:cs="Verdana" w:eastAsia="Verdana" w:hAnsi="Verdana"/>
                <w:b w:val="false"/>
                <w:bCs w:val="false"/>
                <w:sz w:val="20"/>
                <w:szCs w:val="20"/>
              </w:rPr>
              <w:t xml:space="preserve">Industry certifications the labs rehearse</w:t>
            </w:r>
          </w:p>
        </w:tc>
        <w:tc>
          <w:tcPr>
            <w:tcW w:type="dxa" w:w="5960"/>
            <w:tcMar>
              <w:top w:type="dxa" w:w="70"/>
              <w:left w:type="dxa" w:w="110"/>
              <w:bottom w:type="dxa" w:w="70"/>
              <w:right w:type="dxa" w:w="110"/>
            </w:tcMar>
            <w:vAlign w:val="top"/>
          </w:tcPr>
          <w:p>
            <w:pPr>
              <w:spacing w:after="40"/>
            </w:pPr>
            <w:r>
              <w:rPr>
                <w:rFonts w:ascii="Verdana" w:cs="Verdana" w:eastAsia="Verdana" w:hAnsi="Verdana"/>
                <w:b w:val="false"/>
                <w:bCs w:val="false"/>
                <w:sz w:val="20"/>
                <w:szCs w:val="20"/>
              </w:rPr>
              <w:t xml:space="preserve">GCIH and CompTIA CySA+ objectives on detection, triage, scoping and incident handling</w:t>
            </w:r>
          </w:p>
        </w:tc>
      </w:tr>
    </w:tbl>
    <w:p>
      <w:pPr>
        <w:spacing w:before="240"/>
      </w:pPr>
      <w:r>
        <w:rPr>
          <w:rFonts w:ascii="Verdana" w:cs="Verdana" w:eastAsia="Verdana" w:hAnsi="Verdana"/>
          <w:sz w:val="20"/>
          <w:szCs w:val="20"/>
        </w:rPr>
        <w:t xml:space="preserve">The lab generator, the printable version of this syllabus and the instructor notes for each week are at https://redherrings.app/courses.html.</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Verdana" w:cs="Verdana" w:eastAsia="Verdana" w:hAnsi="Verdana"/>
        <w:sz w:val="18"/>
        <w:szCs w:val="18"/>
      </w:rPr>
      <w:t xml:space="preserve">	Page | </w:t>
    </w:r>
    <w:r>
      <w:rPr>
        <w:rFonts w:ascii="Verdana" w:cs="Verdana" w:eastAsia="Verdana" w:hAnsi="Verdana"/>
        <w:sz w:val="18"/>
        <w:szCs w:val="18"/>
      </w:rPr>
      <w:fldChar w:fldCharType="begin"/>
    </w:r>
    <w:r>
      <w:rPr>
        <w:rFonts w:ascii="Verdana" w:cs="Verdana" w:eastAsia="Verdana" w:hAnsi="Verdana"/>
        <w:sz w:val="18"/>
        <w:szCs w:val="18"/>
      </w:rPr>
      <w:instrText xml:space="preserve">PAGE</w:instrText>
    </w:r>
    <w:r>
      <w:rPr>
        <w:rFonts w:ascii="Verdana" w:cs="Verdana" w:eastAsia="Verdana" w:hAnsi="Verdana"/>
        <w:sz w:val="18"/>
        <w:szCs w:val="18"/>
      </w:rPr>
      <w:fldChar w:fldCharType="separate"/>
    </w:r>
    <w:r>
      <w:rPr>
        <w:rFonts w:ascii="Verdana" w:cs="Verdana" w:eastAsia="Verdana" w:hAnsi="Verdana"/>
        <w:sz w:val="18"/>
        <w:szCs w:val="18"/>
      </w:rPr>
      <w:fldChar w:fldCharType="end"/>
    </w:r>
  </w:p>
  <w:p>
    <w:r>
      <w:rPr>
        <w:rFonts w:ascii="Verdana" w:cs="Verdana" w:eastAsia="Verdana" w:hAnsi="Verdana"/>
        <w:sz w:val="16"/>
        <w:szCs w:val="16"/>
      </w:rPr>
      <w:t xml:space="preserve">This document is licensed with a Creative Commons Attribution 4.0 International License ©2026 The Competence Collective, LLC (Red Herrings)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erdana" w:cs="Verdana" w:eastAsia="Verdana" w:hAnsi="Verdana"/>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wzc79t8k_l9fs25kv_olq" Type="http://schemas.openxmlformats.org/officeDocument/2006/relationships/hyperlink" Target="https://doi.org/10.6028/NIST.SP.800-61r2" TargetMode="External"/><Relationship Id="rIdffj_ug3rnjflfzspb3neb" Type="http://schemas.openxmlformats.org/officeDocument/2006/relationships/hyperlink" Target="https://attack.mitre.org/" TargetMode="External"/><Relationship Id="rIdhi47j7ilqurdqvev078wx" Type="http://schemas.openxmlformats.org/officeDocument/2006/relationships/hyperlink" Target="https://www.cisa.gov/resources-tools/resources/federal-government-cybersecurity-incident-and-vulnerability-response-playbooks" TargetMode="External"/><Relationship Id="rIdptlm92yslkq8x_sfpiryq" Type="http://schemas.openxmlformats.org/officeDocument/2006/relationships/hyperlink" Target="https://doi.org/10.6028/NIST.SP.800-83r1" TargetMode="External"/><Relationship Id="rId3gzvbkxamvpcoioe_vyuc" Type="http://schemas.openxmlformats.org/officeDocument/2006/relationships/hyperlink" Target="https://www.cisa.gov/stopransomware/ransomware-guide" TargetMode="External"/><Relationship Id="rIdy0o8hnkwk8ncqjeetwqqg" Type="http://schemas.openxmlformats.org/officeDocument/2006/relationships/hyperlink" Target="https://learn.microsoft.com/windows-server/identity/ad-ds/plan/appendix-l--events-to-monitor" TargetMode="External"/><Relationship Id="rIdkxwvokuf34fwtfnepd161" Type="http://schemas.openxmlformats.org/officeDocument/2006/relationships/hyperlink" Target="https://learn.microsoft.com/defender-office-365/responding-to-a-compromised-email-account" TargetMode="External"/><Relationship Id="rIdrqagaqgb-vhoxuvhio1pn" Type="http://schemas.openxmlformats.org/officeDocument/2006/relationships/hyperlink" Target="https://www.wireshark.org/docs/wsug_html_chunked/" TargetMode="External"/><Relationship Id="rIdgrstip7pencu35ehwxond" Type="http://schemas.openxmlformats.org/officeDocument/2006/relationships/hyperlink" Target="https://www.enisa.europa.eu/publications/good-practice-guide-for-incident-management"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2026-10-20T00:43:51.520Z</dcterms:created>
  <dcterms:modified xsi:type="dcterms:W3CDTF">2026-10-20T00:43:51.520Z</dcterms:modified>
</cp:coreProperties>
</file>

<file path=docProps/custom.xml><?xml version="1.0" encoding="utf-8"?>
<Properties xmlns="http://schemas.openxmlformats.org/officeDocument/2006/custom-properties" xmlns:vt="http://schemas.openxmlformats.org/officeDocument/2006/docPropsVTypes"/>
</file>