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04E" w:rsidRPr="00DF0F0F" w:rsidRDefault="0061520D">
      <w:pPr>
        <w:rPr>
          <w:rFonts w:ascii="Times New Roman" w:hAnsi="Times New Roman" w:cs="Times New Roman"/>
          <w:sz w:val="32"/>
          <w:szCs w:val="32"/>
        </w:rPr>
      </w:pPr>
      <w:r w:rsidRPr="00DF0F0F">
        <w:rPr>
          <w:rFonts w:ascii="Times New Roman" w:hAnsi="Times New Roman" w:cs="Times New Roman"/>
          <w:sz w:val="32"/>
          <w:szCs w:val="32"/>
        </w:rPr>
        <w:t>Section 1: Short Answer Questions </w:t>
      </w:r>
    </w:p>
    <w:p w:rsidR="0061520D" w:rsidRPr="00190073" w:rsidRDefault="0061520D">
      <w:pPr>
        <w:rPr>
          <w:rFonts w:ascii="Times New Roman" w:hAnsi="Times New Roman" w:cs="Times New Roman"/>
        </w:rPr>
      </w:pPr>
    </w:p>
    <w:p w:rsidR="0061520D" w:rsidRPr="00513E48" w:rsidRDefault="0061520D" w:rsidP="0061520D">
      <w:pPr>
        <w:pStyle w:val="ListParagraph"/>
        <w:numPr>
          <w:ilvl w:val="0"/>
          <w:numId w:val="1"/>
        </w:numPr>
        <w:rPr>
          <w:rFonts w:ascii="Times New Roman" w:hAnsi="Times New Roman" w:cs="Times New Roman"/>
          <w:b/>
        </w:rPr>
      </w:pPr>
      <w:r w:rsidRPr="00513E48">
        <w:rPr>
          <w:rFonts w:ascii="Times New Roman" w:hAnsi="Times New Roman" w:cs="Times New Roman"/>
          <w:b/>
        </w:rPr>
        <w:t xml:space="preserve">Compare and contrast </w:t>
      </w:r>
      <w:proofErr w:type="spellStart"/>
      <w:r w:rsidRPr="00513E48">
        <w:rPr>
          <w:rFonts w:ascii="Times New Roman" w:hAnsi="Times New Roman" w:cs="Times New Roman"/>
          <w:b/>
        </w:rPr>
        <w:t>LangChain</w:t>
      </w:r>
      <w:proofErr w:type="spellEnd"/>
      <w:r w:rsidRPr="00513E48">
        <w:rPr>
          <w:rFonts w:ascii="Times New Roman" w:hAnsi="Times New Roman" w:cs="Times New Roman"/>
          <w:b/>
        </w:rPr>
        <w:t xml:space="preserve"> and </w:t>
      </w:r>
      <w:proofErr w:type="spellStart"/>
      <w:r w:rsidRPr="00513E48">
        <w:rPr>
          <w:rFonts w:ascii="Times New Roman" w:hAnsi="Times New Roman" w:cs="Times New Roman"/>
          <w:b/>
        </w:rPr>
        <w:t>AutoGen</w:t>
      </w:r>
      <w:proofErr w:type="spellEnd"/>
      <w:r w:rsidRPr="00513E48">
        <w:rPr>
          <w:rFonts w:ascii="Times New Roman" w:hAnsi="Times New Roman" w:cs="Times New Roman"/>
          <w:b/>
        </w:rPr>
        <w:t xml:space="preserve"> frameworks.</w:t>
      </w:r>
    </w:p>
    <w:p w:rsidR="0061520D" w:rsidRPr="00190073" w:rsidRDefault="0061520D" w:rsidP="0061520D">
      <w:pPr>
        <w:pStyle w:val="ListParagraph"/>
        <w:rPr>
          <w:rFonts w:ascii="Times New Roman" w:hAnsi="Times New Roman" w:cs="Times New Roman"/>
        </w:rPr>
      </w:pPr>
    </w:p>
    <w:p w:rsidR="0061520D" w:rsidRPr="00190073" w:rsidRDefault="0061520D" w:rsidP="0061520D">
      <w:pPr>
        <w:pStyle w:val="ListParagraph"/>
        <w:rPr>
          <w:rFonts w:ascii="Times New Roman" w:hAnsi="Times New Roman" w:cs="Times New Roman"/>
        </w:rPr>
      </w:pPr>
      <w:proofErr w:type="spellStart"/>
      <w:r w:rsidRPr="00190073">
        <w:rPr>
          <w:rFonts w:ascii="Times New Roman" w:hAnsi="Times New Roman" w:cs="Times New Roman"/>
        </w:rPr>
        <w:t>LangChain</w:t>
      </w:r>
      <w:proofErr w:type="spellEnd"/>
      <w:r w:rsidRPr="00190073">
        <w:rPr>
          <w:rFonts w:ascii="Times New Roman" w:hAnsi="Times New Roman" w:cs="Times New Roman"/>
        </w:rPr>
        <w:t xml:space="preserve"> and </w:t>
      </w:r>
      <w:proofErr w:type="spellStart"/>
      <w:r w:rsidRPr="00190073">
        <w:rPr>
          <w:rFonts w:ascii="Times New Roman" w:hAnsi="Times New Roman" w:cs="Times New Roman"/>
        </w:rPr>
        <w:t>AutoGen</w:t>
      </w:r>
      <w:proofErr w:type="spellEnd"/>
      <w:r w:rsidRPr="00190073">
        <w:rPr>
          <w:rFonts w:ascii="Times New Roman" w:hAnsi="Times New Roman" w:cs="Times New Roman"/>
        </w:rPr>
        <w:t xml:space="preserve"> are both frameworks for building AI-driven applications, but they differ in focus. </w:t>
      </w:r>
      <w:proofErr w:type="spellStart"/>
      <w:r w:rsidRPr="00190073">
        <w:rPr>
          <w:rFonts w:ascii="Times New Roman" w:hAnsi="Times New Roman" w:cs="Times New Roman"/>
        </w:rPr>
        <w:t>LangChain</w:t>
      </w:r>
      <w:proofErr w:type="spellEnd"/>
      <w:r w:rsidRPr="00190073">
        <w:rPr>
          <w:rFonts w:ascii="Times New Roman" w:hAnsi="Times New Roman" w:cs="Times New Roman"/>
        </w:rPr>
        <w:t xml:space="preserve"> emphasizes chaining large language models (LLMs) with external tools, APIs, and memory. It provides abstractions for prompt management, retrieval-augmented generation, and agent orchestration, making it ideal for applications like </w:t>
      </w:r>
      <w:proofErr w:type="spellStart"/>
      <w:r w:rsidRPr="00190073">
        <w:rPr>
          <w:rFonts w:ascii="Times New Roman" w:hAnsi="Times New Roman" w:cs="Times New Roman"/>
        </w:rPr>
        <w:t>chatbots</w:t>
      </w:r>
      <w:proofErr w:type="spellEnd"/>
      <w:r w:rsidRPr="00190073">
        <w:rPr>
          <w:rFonts w:ascii="Times New Roman" w:hAnsi="Times New Roman" w:cs="Times New Roman"/>
        </w:rPr>
        <w:t xml:space="preserve">, document Q&amp;A, and workflow automation. Its limitation lies in complexity—developers must carefully design chains to avoid inefficiency or hallucination. </w:t>
      </w:r>
      <w:proofErr w:type="spellStart"/>
      <w:r w:rsidRPr="00190073">
        <w:rPr>
          <w:rFonts w:ascii="Times New Roman" w:hAnsi="Times New Roman" w:cs="Times New Roman"/>
        </w:rPr>
        <w:t>AutoGen</w:t>
      </w:r>
      <w:proofErr w:type="spellEnd"/>
      <w:r w:rsidRPr="00190073">
        <w:rPr>
          <w:rFonts w:ascii="Times New Roman" w:hAnsi="Times New Roman" w:cs="Times New Roman"/>
        </w:rPr>
        <w:t xml:space="preserve">, by contrast, focuses on multi-agent collaboration. It enables autonomous agents to communicate, negotiate, and solve tasks collectively, often with human-in-the-loop oversight. </w:t>
      </w:r>
      <w:proofErr w:type="spellStart"/>
      <w:r w:rsidRPr="00190073">
        <w:rPr>
          <w:rFonts w:ascii="Times New Roman" w:hAnsi="Times New Roman" w:cs="Times New Roman"/>
        </w:rPr>
        <w:t>AutoGen</w:t>
      </w:r>
      <w:proofErr w:type="spellEnd"/>
      <w:r w:rsidRPr="00190073">
        <w:rPr>
          <w:rFonts w:ascii="Times New Roman" w:hAnsi="Times New Roman" w:cs="Times New Roman"/>
        </w:rPr>
        <w:t xml:space="preserve"> is well-suited for scenarios like collaborative coding, research synthesis, or multi-role simulations. However, its limitation is scalability—coordinating multiple agents can introduce overhead and unpredictability. In short, </w:t>
      </w:r>
      <w:proofErr w:type="spellStart"/>
      <w:r w:rsidRPr="00190073">
        <w:rPr>
          <w:rFonts w:ascii="Times New Roman" w:hAnsi="Times New Roman" w:cs="Times New Roman"/>
        </w:rPr>
        <w:t>LangChain</w:t>
      </w:r>
      <w:proofErr w:type="spellEnd"/>
      <w:r w:rsidRPr="00190073">
        <w:rPr>
          <w:rFonts w:ascii="Times New Roman" w:hAnsi="Times New Roman" w:cs="Times New Roman"/>
        </w:rPr>
        <w:t xml:space="preserve"> is best for tool-augmented pipelines, while </w:t>
      </w:r>
      <w:proofErr w:type="spellStart"/>
      <w:r w:rsidRPr="00190073">
        <w:rPr>
          <w:rFonts w:ascii="Times New Roman" w:hAnsi="Times New Roman" w:cs="Times New Roman"/>
        </w:rPr>
        <w:t>AutoGen</w:t>
      </w:r>
      <w:proofErr w:type="spellEnd"/>
      <w:r w:rsidRPr="00190073">
        <w:rPr>
          <w:rFonts w:ascii="Times New Roman" w:hAnsi="Times New Roman" w:cs="Times New Roman"/>
        </w:rPr>
        <w:t xml:space="preserve"> excels in agent-to-agent interaction.</w:t>
      </w:r>
    </w:p>
    <w:p w:rsidR="0061520D" w:rsidRPr="00190073" w:rsidRDefault="0061520D" w:rsidP="0061520D">
      <w:pPr>
        <w:pStyle w:val="ListParagraph"/>
        <w:rPr>
          <w:rFonts w:ascii="Times New Roman" w:hAnsi="Times New Roman" w:cs="Times New Roman"/>
        </w:rPr>
      </w:pPr>
    </w:p>
    <w:p w:rsidR="0061520D" w:rsidRPr="00513E48" w:rsidRDefault="0061520D" w:rsidP="0061520D">
      <w:pPr>
        <w:pStyle w:val="ListParagraph"/>
        <w:numPr>
          <w:ilvl w:val="0"/>
          <w:numId w:val="1"/>
        </w:numPr>
        <w:rPr>
          <w:rFonts w:ascii="Times New Roman" w:hAnsi="Times New Roman" w:cs="Times New Roman"/>
          <w:b/>
        </w:rPr>
      </w:pPr>
      <w:r w:rsidRPr="00513E48">
        <w:rPr>
          <w:rFonts w:ascii="Times New Roman" w:hAnsi="Times New Roman" w:cs="Times New Roman"/>
          <w:b/>
        </w:rPr>
        <w:t>Explain how AI Agents are transforming supply chain management.</w:t>
      </w:r>
    </w:p>
    <w:p w:rsidR="0061520D" w:rsidRPr="00190073" w:rsidRDefault="0061520D" w:rsidP="0061520D">
      <w:pPr>
        <w:pStyle w:val="ListParagraph"/>
        <w:rPr>
          <w:rFonts w:ascii="Times New Roman" w:hAnsi="Times New Roman" w:cs="Times New Roman"/>
        </w:rPr>
      </w:pP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AI Agents are revolutionizing supply chains by enabling real-time decision-making and predictive optimization. For example, inventory management agents forecast demand using historical sales and external signals (e.g., weather, holidays), reducing </w:t>
      </w:r>
      <w:proofErr w:type="spellStart"/>
      <w:r w:rsidRPr="00190073">
        <w:rPr>
          <w:rFonts w:ascii="Times New Roman" w:hAnsi="Times New Roman" w:cs="Times New Roman"/>
        </w:rPr>
        <w:t>stockouts</w:t>
      </w:r>
      <w:proofErr w:type="spellEnd"/>
      <w:r w:rsidRPr="00190073">
        <w:rPr>
          <w:rFonts w:ascii="Times New Roman" w:hAnsi="Times New Roman" w:cs="Times New Roman"/>
        </w:rPr>
        <w:t xml:space="preserve"> and overstock. Logistics agents dynamically reroute shipments based on traffic or port delays, cutting delivery times and costs. Procurement agents analyze supplier performance and negotiate contracts, improving resilience. A notable impact is predictive maintenance: agents monitor </w:t>
      </w:r>
      <w:proofErr w:type="spellStart"/>
      <w:r w:rsidRPr="00190073">
        <w:rPr>
          <w:rFonts w:ascii="Times New Roman" w:hAnsi="Times New Roman" w:cs="Times New Roman"/>
        </w:rPr>
        <w:t>IoT</w:t>
      </w:r>
      <w:proofErr w:type="spellEnd"/>
      <w:r w:rsidRPr="00190073">
        <w:rPr>
          <w:rFonts w:ascii="Times New Roman" w:hAnsi="Times New Roman" w:cs="Times New Roman"/>
        </w:rPr>
        <w:t>-enabled equipment, anticipating failures before they disrupt operations. Businesses benefit through reduced costs, higher efficiency, and improved customer satisfaction. For instance, Amazon uses AI-driven logistics to optimize warehouse operations, while Maersk leverages predictive analytics for shipping routes. The transformation lies in shifting supply chains from reactive to proactive systems, where agents continuously adapt to uncertainty.</w:t>
      </w:r>
    </w:p>
    <w:p w:rsidR="0061520D" w:rsidRPr="00190073" w:rsidRDefault="0061520D" w:rsidP="0061520D">
      <w:pPr>
        <w:pStyle w:val="ListParagraph"/>
        <w:rPr>
          <w:rFonts w:ascii="Times New Roman" w:hAnsi="Times New Roman" w:cs="Times New Roman"/>
        </w:rPr>
      </w:pPr>
    </w:p>
    <w:p w:rsidR="0061520D" w:rsidRPr="00513E48" w:rsidRDefault="0061520D" w:rsidP="0061520D">
      <w:pPr>
        <w:pStyle w:val="ListParagraph"/>
        <w:numPr>
          <w:ilvl w:val="0"/>
          <w:numId w:val="1"/>
        </w:numPr>
        <w:rPr>
          <w:rFonts w:ascii="Times New Roman" w:hAnsi="Times New Roman" w:cs="Times New Roman"/>
          <w:b/>
        </w:rPr>
      </w:pPr>
      <w:r w:rsidRPr="00513E48">
        <w:rPr>
          <w:rFonts w:ascii="Times New Roman" w:hAnsi="Times New Roman" w:cs="Times New Roman"/>
          <w:b/>
        </w:rPr>
        <w:t>Describe the concept of "Human-Agent Symbiosis" and its significance for the future of work. How does this differ from traditional automation?</w:t>
      </w:r>
    </w:p>
    <w:p w:rsidR="0061520D" w:rsidRPr="00190073" w:rsidRDefault="0061520D" w:rsidP="0061520D">
      <w:pPr>
        <w:pStyle w:val="ListParagraph"/>
        <w:rPr>
          <w:rFonts w:ascii="Times New Roman" w:hAnsi="Times New Roman" w:cs="Times New Roman"/>
        </w:rPr>
      </w:pP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Human-Agent Symbiosis refers to collaborative systems where humans and AI agents complement each other’s strengths. Unlike traditional automation, which replaces human tasks, symbiosis emphasizes augmentation—AI handles repetitive, data-heavy work while humans provide judgment, creativity, and ethical oversight. For example, in healthcare, diagnostic agents analyze scans while doctors interpret results and decide treatment. In software engineering, coding agents generate prototypes, while developers refine and validate them. The significance lies in creating adaptive workplaces where productivity and innovation increase without displacing human agency. This differs from automation’s rigid workflows: symbiosis is dynamic, interactive, and context-aware. It envisions a future of work where humans remain central, supported by agents that amplify decision-making and reduce cognitive load.</w:t>
      </w:r>
      <w:r w:rsidRPr="00190073">
        <w:rPr>
          <w:rFonts w:ascii="Times New Roman" w:hAnsi="Times New Roman" w:cs="Times New Roman"/>
        </w:rPr>
        <w:tab/>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w:t>
      </w:r>
    </w:p>
    <w:p w:rsidR="0061520D" w:rsidRPr="00513E48" w:rsidRDefault="0061520D" w:rsidP="0061520D">
      <w:pPr>
        <w:pStyle w:val="ListParagraph"/>
        <w:numPr>
          <w:ilvl w:val="0"/>
          <w:numId w:val="1"/>
        </w:numPr>
        <w:rPr>
          <w:rFonts w:ascii="Times New Roman" w:hAnsi="Times New Roman" w:cs="Times New Roman"/>
          <w:b/>
        </w:rPr>
      </w:pPr>
      <w:r w:rsidRPr="00513E48">
        <w:rPr>
          <w:rFonts w:ascii="Times New Roman" w:hAnsi="Times New Roman" w:cs="Times New Roman"/>
          <w:b/>
        </w:rPr>
        <w:lastRenderedPageBreak/>
        <w:t>Analyze the ethical implications of autonomous AI Agents in financial decision-making. What safeguards should be implemented?</w:t>
      </w:r>
    </w:p>
    <w:p w:rsidR="0061520D" w:rsidRPr="00190073" w:rsidRDefault="0061520D" w:rsidP="0061520D">
      <w:pPr>
        <w:pStyle w:val="ListParagraph"/>
        <w:rPr>
          <w:rFonts w:ascii="Times New Roman" w:hAnsi="Times New Roman" w:cs="Times New Roman"/>
        </w:rPr>
      </w:pP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Autonomous AI agents in finance raise ethical concerns around bias, accountability, and systemic risk. For instance, trading agents may amplify volatility or discriminate in lending decisions if trained on biased data. Ethical implications include loss of transparency, unequal access, and potential market manipulation. Safeguards are essential: </w:t>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(1) </w:t>
      </w:r>
      <w:proofErr w:type="spellStart"/>
      <w:r w:rsidRPr="00190073">
        <w:rPr>
          <w:rFonts w:ascii="Times New Roman" w:hAnsi="Times New Roman" w:cs="Times New Roman"/>
        </w:rPr>
        <w:t>Explainability</w:t>
      </w:r>
      <w:proofErr w:type="spellEnd"/>
      <w:r w:rsidRPr="00190073">
        <w:rPr>
          <w:rFonts w:ascii="Times New Roman" w:hAnsi="Times New Roman" w:cs="Times New Roman"/>
        </w:rPr>
        <w:t xml:space="preserve">—agents must provide interpretable reasoning for decisions; </w:t>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(2) Human oversight—critical financial actions should require human validation; </w:t>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(3) Bias audits—datasets and models must be regularly tested for fairness; </w:t>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 xml:space="preserve">(4) Regulatory compliance—agents should align with financial laws and reporting standards; </w:t>
      </w: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(5) Fail-safes—mechanisms to halt or override agents during anomalies. Without these, autonomous finance risks eroding trust and stability. Responsible deployment requires balancing efficiency with fairness and accountability</w:t>
      </w:r>
    </w:p>
    <w:p w:rsidR="0061520D" w:rsidRPr="00190073" w:rsidRDefault="0061520D" w:rsidP="0061520D">
      <w:pPr>
        <w:pStyle w:val="ListParagraph"/>
        <w:rPr>
          <w:rFonts w:ascii="Times New Roman" w:hAnsi="Times New Roman" w:cs="Times New Roman"/>
        </w:rPr>
      </w:pPr>
    </w:p>
    <w:p w:rsidR="0061520D" w:rsidRPr="00513E48" w:rsidRDefault="0061520D" w:rsidP="0061520D">
      <w:pPr>
        <w:pStyle w:val="ListParagraph"/>
        <w:numPr>
          <w:ilvl w:val="0"/>
          <w:numId w:val="1"/>
        </w:numPr>
        <w:rPr>
          <w:rFonts w:ascii="Times New Roman" w:hAnsi="Times New Roman" w:cs="Times New Roman"/>
          <w:b/>
        </w:rPr>
      </w:pPr>
      <w:bookmarkStart w:id="0" w:name="_GoBack"/>
      <w:r w:rsidRPr="00513E48">
        <w:rPr>
          <w:rFonts w:ascii="Times New Roman" w:hAnsi="Times New Roman" w:cs="Times New Roman"/>
          <w:b/>
        </w:rPr>
        <w:t>Discuss the technical challenges of memory and state management in AI Agents. Why is this critical for real-world applications?</w:t>
      </w:r>
    </w:p>
    <w:bookmarkEnd w:id="0"/>
    <w:p w:rsidR="0061520D" w:rsidRPr="00190073" w:rsidRDefault="0061520D" w:rsidP="0061520D">
      <w:pPr>
        <w:pStyle w:val="ListParagraph"/>
        <w:rPr>
          <w:rFonts w:ascii="Times New Roman" w:hAnsi="Times New Roman" w:cs="Times New Roman"/>
        </w:rPr>
      </w:pPr>
    </w:p>
    <w:p w:rsidR="0061520D" w:rsidRPr="00190073" w:rsidRDefault="0061520D" w:rsidP="0061520D">
      <w:pPr>
        <w:pStyle w:val="ListParagraph"/>
        <w:rPr>
          <w:rFonts w:ascii="Times New Roman" w:hAnsi="Times New Roman" w:cs="Times New Roman"/>
        </w:rPr>
      </w:pPr>
      <w:r w:rsidRPr="00190073">
        <w:rPr>
          <w:rFonts w:ascii="Times New Roman" w:hAnsi="Times New Roman" w:cs="Times New Roman"/>
        </w:rPr>
        <w:t>Memory and state management are critical for AI agents because real-world tasks often span multiple interactions and contexts. Agents must retain relevant information—user preferences, task progress, or historical data—without overwhelming storage or introducing errors. Technical challenges include scalability (handling large volumes of context), forgetting vs. persistence (deciding what to retain), and synchronization (maintaining consistency across distributed agents). Poor memory design leads to hallucinations, redundant work, or unsafe decisions. For example, a customer service agent forgetting prior complaints undermines trust, while a logistics agent mismanaging state could reroute shipments incorrectly. Solutions involve hierarchical memory (short-term vs. long-term), vector databases for retrieval, and robust state machines. Effective memory ensures continuity, personalization, and reliability—making it indispensable for agents operating in dynamic, real-world environments.</w:t>
      </w:r>
    </w:p>
    <w:sectPr w:rsidR="0061520D" w:rsidRPr="00190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9067B0"/>
    <w:multiLevelType w:val="hybridMultilevel"/>
    <w:tmpl w:val="CCD8F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ADB"/>
    <w:rsid w:val="00190073"/>
    <w:rsid w:val="0041304E"/>
    <w:rsid w:val="004C6ADB"/>
    <w:rsid w:val="00513E48"/>
    <w:rsid w:val="0061520D"/>
    <w:rsid w:val="00DF0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7F48B-F095-4313-9E7C-EC930FDB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2025-12-03T07:30:00Z</dcterms:created>
  <dcterms:modified xsi:type="dcterms:W3CDTF">2025-12-03T07:37:00Z</dcterms:modified>
</cp:coreProperties>
</file>