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E3A8A"/>
          <w:sz w:val="52"/>
        </w:rPr>
        <w:t>FSCA — Executive Summary</w:t>
      </w:r>
    </w:p>
    <w:p>
      <w:pPr>
        <w:pStyle w:val="Heading2"/>
      </w:pPr>
      <w:r/>
      <w:r>
        <w:rPr>
          <w:b/>
          <w:color w:val="1E3A8A"/>
          <w:sz w:val="36"/>
        </w:rPr>
        <w:t>Kubernetes for Smart Contracts. Built for Institutions. Ready for Agents.</w:t>
      </w:r>
    </w:p>
    <w:p>
      <w:pPr>
        <w:spacing w:before="80" w:after="80"/>
        <w:pBdr>
          <w:bottom w:val="single" w:sz="6" w:space="1" w:color="4F46E5"/>
        </w:pBdr>
      </w:pPr>
    </w:p>
    <w:p>
      <w:pPr>
        <w:pStyle w:val="Heading3"/>
      </w:pPr>
      <w:r/>
      <w:r>
        <w:rPr>
          <w:b/>
          <w:color w:val="1D4ED8"/>
          <w:sz w:val="28"/>
        </w:rPr>
        <w:t>The Problem</w:t>
      </w:r>
    </w:p>
    <w:p>
      <w:pPr>
        <w:spacing w:after="120"/>
      </w:pPr>
      <w:r>
        <w:t>Smart contracts today are deployed as monoliths. When a single function needs upgrading, the entire system must be redeployed — risking user funds, breaking integrations, and demanding full re-audits.</w:t>
      </w:r>
    </w:p>
    <w:p>
      <w:pPr>
        <w:spacing w:after="120"/>
      </w:pPr>
      <w:r>
        <w:t xml:space="preserve">The industry's leading mitigation — the Diamond proxy pattern (EIP-2535) — routes all logic through a shared storage namespace via </w:t>
      </w:r>
      <w:r>
        <w:rPr>
          <w:rFonts w:ascii="Courier New" w:hAnsi="Courier New"/>
          <w:color w:val="BE185D"/>
          <w:sz w:val="18"/>
        </w:rPr>
        <w:t>delegatecall</w:t>
      </w:r>
      <w:r>
        <w:t xml:space="preserve">. This introduces a systemic vulnerability: </w:t>
      </w:r>
      <w:r>
        <w:rPr>
          <w:b/>
        </w:rPr>
        <w:t>silent storage slot collisions</w:t>
      </w:r>
      <w:r>
        <w:t xml:space="preserve"> between independently developed modules. The risk scales quadratically with system complexity — precisely the direction institutional adoption demands.</w:t>
      </w:r>
    </w:p>
    <w:p>
      <w:pPr>
        <w:spacing w:after="120"/>
      </w:pPr>
      <w:r>
        <w:t>No existing framework provides modular deployment, runtime dependency management, and multi-signature governance as a unified, production-ready stack.</w:t>
      </w:r>
    </w:p>
    <w:p>
      <w:pPr>
        <w:spacing w:before="80" w:after="80"/>
        <w:pBdr>
          <w:bottom w:val="single" w:sz="6" w:space="1" w:color="4F46E5"/>
        </w:pBdr>
      </w:pPr>
    </w:p>
    <w:p>
      <w:pPr>
        <w:pStyle w:val="Heading3"/>
      </w:pPr>
      <w:r/>
      <w:r>
        <w:rPr>
          <w:b/>
          <w:color w:val="1D4ED8"/>
          <w:sz w:val="28"/>
        </w:rPr>
        <w:t>The Solution: FSCA</w:t>
      </w:r>
    </w:p>
    <w:p>
      <w:pPr>
        <w:spacing w:after="120"/>
      </w:pPr>
      <w:r>
        <w:rPr>
          <w:b/>
        </w:rPr>
        <w:t>FSCA (Full Stack Contract Architecture)</w:t>
      </w:r>
      <w:r>
        <w:t xml:space="preserve"> is the first smart contract framework that applies Kubernetes-style container orchestration to blockchain: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E3A8A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4419"/>
            <w:shd w:val="clear" w:color="auto" w:fill="1E3A8A"/>
          </w:tcPr>
          <w:p>
            <w:r>
              <w:rPr>
                <w:b/>
                <w:color w:val="FFFFFF"/>
              </w:rPr>
              <w:t>How It Works</w:t>
            </w:r>
          </w:p>
        </w:tc>
      </w:tr>
      <w:tr>
        <w:tc>
          <w:tcPr>
            <w:tcW w:type="dxa" w:w="4419"/>
          </w:tcPr>
          <w:p>
            <w:r>
              <w:t>Microservice Pods</w:t>
            </w:r>
          </w:p>
        </w:tc>
        <w:tc>
          <w:tcPr>
            <w:tcW w:type="dxa" w:w="4419"/>
          </w:tcPr>
          <w:p>
            <w:r>
              <w:t>Each business module is an independent contract with its own storage — collisions are physically impossible</w:t>
            </w:r>
          </w:p>
        </w:tc>
      </w:tr>
      <w:tr>
        <w:tc>
          <w:tcPr>
            <w:tcW w:type="dxa" w:w="4419"/>
          </w:tcPr>
          <w:p>
            <w:r>
              <w:t>On-Chain Service Mesh</w:t>
            </w:r>
          </w:p>
        </w:tc>
        <w:tc>
          <w:tcPr>
            <w:tcW w:type="dxa" w:w="4419"/>
          </w:tcPr>
          <w:p>
            <w:r>
              <w:t>Runtime dependency resolution via a directed graph; no hardcoded addresses</w:t>
            </w:r>
          </w:p>
        </w:tc>
      </w:tr>
      <w:tr>
        <w:tc>
          <w:tcPr>
            <w:tcW w:type="dxa" w:w="4419"/>
          </w:tcPr>
          <w:p>
            <w:r>
              <w:t>Zero-Trust Authentication</w:t>
            </w:r>
          </w:p>
        </w:tc>
        <w:tc>
          <w:tcPr>
            <w:tcW w:type="dxa" w:w="4419"/>
          </w:tcPr>
          <w:p>
            <w:r>
              <w:t>Every cross-module call is cryptographically verified through bidirectional link authorization</w:t>
            </w:r>
          </w:p>
        </w:tc>
      </w:tr>
      <w:tr>
        <w:tc>
          <w:tcPr>
            <w:tcW w:type="dxa" w:w="4419"/>
          </w:tcPr>
          <w:p>
            <w:r>
              <w:t>Multi-Sig Governance</w:t>
            </w:r>
          </w:p>
        </w:tc>
        <w:tc>
          <w:tcPr>
            <w:tcW w:type="dxa" w:w="4419"/>
          </w:tcPr>
          <w:p>
            <w:r>
              <w:t>Built-in M-of-N threshold wallet with ABI-level RBAC — DAO-ready from day one</w:t>
            </w:r>
          </w:p>
        </w:tc>
      </w:tr>
      <w:tr>
        <w:tc>
          <w:tcPr>
            <w:tcW w:type="dxa" w:w="4419"/>
          </w:tcPr>
          <w:p>
            <w:r>
              <w:t>Zero-Downtime Upgrades</w:t>
            </w:r>
          </w:p>
        </w:tc>
        <w:tc>
          <w:tcPr>
            <w:tcW w:type="dxa" w:w="4419"/>
          </w:tcPr>
          <w:p>
            <w:r>
              <w:t>Single CLI command hot-swaps any module while preserving all dependencies</w:t>
            </w:r>
          </w:p>
        </w:tc>
      </w:tr>
      <w:tr>
        <w:tc>
          <w:tcPr>
            <w:tcW w:type="dxa" w:w="4419"/>
          </w:tcPr>
          <w:p>
            <w:r>
              <w:t>Topology Visualization</w:t>
            </w:r>
          </w:p>
        </w:tc>
        <w:tc>
          <w:tcPr>
            <w:tcW w:type="dxa" w:w="4419"/>
          </w:tcPr>
          <w:p>
            <w:r>
              <w:t>On-demand dependency graph generation for auditors and regulators</w:t>
            </w:r>
          </w:p>
        </w:tc>
      </w:tr>
    </w:tbl>
    <w:p/>
    <w:p>
      <w:pPr>
        <w:spacing w:before="80" w:after="80"/>
        <w:pBdr>
          <w:bottom w:val="single" w:sz="6" w:space="1" w:color="4F46E5"/>
        </w:pBdr>
      </w:pPr>
    </w:p>
    <w:p>
      <w:pPr>
        <w:pStyle w:val="Heading3"/>
      </w:pPr>
      <w:r/>
      <w:r>
        <w:rPr>
          <w:b/>
          <w:color w:val="1D4ED8"/>
          <w:sz w:val="28"/>
        </w:rPr>
        <w:t>Market Opportunity</w:t>
      </w:r>
    </w:p>
    <w:p>
      <w:pPr>
        <w:spacing w:after="120"/>
      </w:pPr>
      <w:r>
        <w:rPr>
          <w:b/>
        </w:rPr>
        <w:t>Two converging mega-trends create a $10B+ infrastructure TAM:</w:t>
      </w:r>
    </w:p>
    <w:p>
      <w:pPr>
        <w:spacing w:after="120"/>
      </w:pPr>
      <w:r>
        <w:rPr>
          <w:b/>
        </w:rPr>
        <w:t>1. Institutional Core Banking on Blockchain</w:t>
      </w:r>
    </w:p>
    <w:p>
      <w:pPr>
        <w:spacing w:after="120"/>
      </w:pPr>
      <w:r>
        <w:t>Banks migrating ledger, clearing, and settlement systems on-chain need the same module isolation, independent audit scope, and multi-party governance they have in traditional core banking (Temenos, FIS). Diamond cannot deliver this — FSCA can.</w:t>
      </w:r>
    </w:p>
    <w:p>
      <w:pPr>
        <w:spacing w:after="120"/>
      </w:pPr>
      <w:r>
        <w:rPr>
          <w:b/>
        </w:rPr>
        <w:t>2. Agentic Finance</w:t>
      </w:r>
    </w:p>
    <w:p>
      <w:pPr>
        <w:spacing w:after="120"/>
      </w:pPr>
      <w:r>
        <w:t>Autonomous AI agents operating on-chain require dynamic service discovery, fine-grained permission tiers, and high-frequency topology changes. Diamond's shared storage and static routing are structurally incompatible with this future.</w:t>
      </w:r>
    </w:p>
    <w:p>
      <w:pPr>
        <w:spacing w:before="80" w:after="80"/>
        <w:pBdr>
          <w:bottom w:val="single" w:sz="6" w:space="1" w:color="4F46E5"/>
        </w:pBdr>
      </w:pPr>
    </w:p>
    <w:p>
      <w:pPr>
        <w:pStyle w:val="Heading3"/>
      </w:pPr>
      <w:r/>
      <w:r>
        <w:rPr>
          <w:b/>
          <w:color w:val="1D4ED8"/>
          <w:sz w:val="28"/>
        </w:rPr>
        <w:t>Traction and Technical Readiness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E3A8A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4419"/>
            <w:shd w:val="clear" w:color="auto" w:fill="1E3A8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4419"/>
          </w:tcPr>
          <w:p>
            <w:r>
              <w:t>Core framework (4 Solidity contracts, ~1,200 LOC)</w:t>
            </w:r>
          </w:p>
        </w:tc>
        <w:tc>
          <w:tcPr>
            <w:tcW w:type="dxa" w:w="4419"/>
          </w:tcPr>
          <w:p>
            <w:r>
              <w:t>Complete</w:t>
            </w:r>
          </w:p>
        </w:tc>
      </w:tr>
      <w:tr>
        <w:tc>
          <w:tcPr>
            <w:tcW w:type="dxa" w:w="4419"/>
          </w:tcPr>
          <w:p>
            <w:r>
              <w:t>CLI toolchain (18 commands, ~4,900 LOC JavaScript)</w:t>
            </w:r>
          </w:p>
        </w:tc>
        <w:tc>
          <w:tcPr>
            <w:tcW w:type="dxa" w:w="4419"/>
          </w:tcPr>
          <w:p>
            <w:r>
              <w:t>Complete</w:t>
            </w:r>
          </w:p>
        </w:tc>
      </w:tr>
      <w:tr>
        <w:tc>
          <w:tcPr>
            <w:tcW w:type="dxa" w:w="4419"/>
          </w:tcPr>
          <w:p>
            <w:r>
              <w:t>Full lifecycle integration test (deploy, mount, link, upgrade)</w:t>
            </w:r>
          </w:p>
        </w:tc>
        <w:tc>
          <w:tcPr>
            <w:tcW w:type="dxa" w:w="4419"/>
          </w:tcPr>
          <w:p>
            <w:r>
              <w:t>Passed</w:t>
            </w:r>
          </w:p>
        </w:tc>
      </w:tr>
      <w:tr>
        <w:tc>
          <w:tcPr>
            <w:tcW w:type="dxa" w:w="4419"/>
          </w:tcPr>
          <w:p>
            <w:r>
              <w:t>Parallel EVM compatibility (Sei Testnet)</w:t>
            </w:r>
          </w:p>
        </w:tc>
        <w:tc>
          <w:tcPr>
            <w:tcW w:type="dxa" w:w="4419"/>
          </w:tcPr>
          <w:p>
            <w:r>
              <w:t>Verified</w:t>
            </w:r>
          </w:p>
        </w:tc>
      </w:tr>
      <w:tr>
        <w:tc>
          <w:tcPr>
            <w:tcW w:type="dxa" w:w="4419"/>
          </w:tcPr>
          <w:p>
            <w:r>
              <w:t>Documentation (whitepaper, user guide, demo — EN/ZH)</w:t>
            </w:r>
          </w:p>
        </w:tc>
        <w:tc>
          <w:tcPr>
            <w:tcW w:type="dxa" w:w="4419"/>
          </w:tcPr>
          <w:p>
            <w:r>
              <w:t>Complete</w:t>
            </w:r>
          </w:p>
        </w:tc>
      </w:tr>
      <w:tr>
        <w:tc>
          <w:tcPr>
            <w:tcW w:type="dxa" w:w="4419"/>
          </w:tcPr>
          <w:p>
            <w:r>
              <w:t>npm published (fsca-cli)</w:t>
            </w:r>
          </w:p>
        </w:tc>
        <w:tc>
          <w:tcPr>
            <w:tcW w:type="dxa" w:w="4419"/>
          </w:tcPr>
          <w:p>
            <w:r>
              <w:t>Live</w:t>
            </w:r>
          </w:p>
        </w:tc>
      </w:tr>
      <w:tr>
        <w:tc>
          <w:tcPr>
            <w:tcW w:type="dxa" w:w="4419"/>
          </w:tcPr>
          <w:p>
            <w:r>
              <w:t>Total codebase</w:t>
            </w:r>
          </w:p>
        </w:tc>
        <w:tc>
          <w:tcPr>
            <w:tcW w:type="dxa" w:w="4419"/>
          </w:tcPr>
          <w:p>
            <w:r>
              <w:t>~10,000 lines</w:t>
            </w:r>
          </w:p>
        </w:tc>
      </w:tr>
    </w:tbl>
    <w:p/>
    <w:p>
      <w:pPr>
        <w:spacing w:after="120"/>
      </w:pPr>
      <w:r>
        <w:rPr>
          <w:b/>
        </w:rPr>
        <w:t>The framework achieves full closed-loop operation today</w:t>
      </w:r>
      <w:r>
        <w:t xml:space="preserve"> — from project initialization to zero-downtime hot-swap — validated on Sei's Parallel EVM testnet, where FSCA's per-Pod storage isolation enables maximum transactional parallelism.</w:t>
      </w:r>
    </w:p>
    <w:p>
      <w:pPr>
        <w:spacing w:before="80" w:after="80"/>
        <w:pBdr>
          <w:bottom w:val="single" w:sz="6" w:space="1" w:color="4F46E5"/>
        </w:pBdr>
      </w:pPr>
    </w:p>
    <w:p>
      <w:pPr>
        <w:pStyle w:val="Heading3"/>
      </w:pPr>
      <w:r/>
      <w:r>
        <w:rPr>
          <w:b/>
          <w:color w:val="1D4ED8"/>
          <w:sz w:val="28"/>
        </w:rPr>
        <w:t>Competitive Positioning</w:t>
      </w:r>
    </w:p>
    <w:p>
      <w:pPr>
        <w:pStyle w:val="NoSpacing"/>
        <w:spacing w:before="80" w:after="160"/>
        <w:ind w:left="432"/>
        <w:shd w:val="clear" w:color="auto" w:fill="F3F4F6"/>
      </w:pPr>
      <w:r>
        <w:rPr>
          <w:rFonts w:ascii="Courier New" w:hAnsi="Courier New"/>
          <w:color w:val="1F2A37"/>
          <w:sz w:val="18"/>
        </w:rPr>
        <w:t xml:space="preserve">                    Modular    Storage     Built-in     Runtime</w:t>
        <w:br/>
        <w:t xml:space="preserve">                    Deploy     Isolation   Governance   Linking</w:t>
        <w:br/>
        <w:t>Hardhat               -           -           -           -</w:t>
        <w:br/>
        <w:t>OpenZeppelin Upgrades  -          Per-contract  -           -</w:t>
        <w:br/>
        <w:t>Diamond (EIP-2535)    Yes         No (shared)   -           -</w:t>
        <w:br/>
        <w:t>FSCA                  Yes         Yes (per-Pod) Yes         Yes</w:t>
      </w:r>
    </w:p>
    <w:p>
      <w:pPr>
        <w:spacing w:after="120"/>
      </w:pPr>
      <w:r>
        <w:t>FSCA is the only framework that delivers all four properties simultaneously.</w:t>
      </w:r>
    </w:p>
    <w:p>
      <w:pPr>
        <w:spacing w:before="80" w:after="80"/>
        <w:pBdr>
          <w:bottom w:val="single" w:sz="6" w:space="1" w:color="4F46E5"/>
        </w:pBdr>
      </w:pPr>
    </w:p>
    <w:p>
      <w:pPr>
        <w:pStyle w:val="Heading3"/>
      </w:pPr>
      <w:r/>
      <w:r>
        <w:rPr>
          <w:b/>
          <w:color w:val="1D4ED8"/>
          <w:sz w:val="28"/>
        </w:rPr>
        <w:t>Business Model</w:t>
      </w:r>
    </w:p>
    <w:p>
      <w:pPr>
        <w:spacing w:after="120"/>
      </w:pPr>
      <w:r>
        <w:rPr>
          <w:b/>
        </w:rPr>
        <w:t>Open-core with dual licensing potential:</w:t>
      </w:r>
    </w:p>
    <w:p>
      <w:pPr>
        <w:pStyle w:val="ListBullet"/>
        <w:ind w:left="360"/>
      </w:pPr>
      <w:r>
        <w:rPr>
          <w:b/>
        </w:rPr>
        <w:t>Open Source (Apache 2.0):</w:t>
      </w:r>
      <w:r>
        <w:t xml:space="preserve"> Framework, CLI, and documentation — build community and developer adoption</w:t>
      </w:r>
    </w:p>
    <w:p>
      <w:pPr>
        <w:pStyle w:val="ListBullet"/>
        <w:ind w:left="360"/>
      </w:pPr>
      <w:r>
        <w:rPr>
          <w:b/>
        </w:rPr>
        <w:t>Enterprise Revenue Streams:</w:t>
      </w:r>
    </w:p>
    <w:p>
      <w:pPr>
        <w:pStyle w:val="ListBullet"/>
        <w:ind w:left="648"/>
      </w:pPr>
      <w:r>
        <w:t>Managed FSCA cluster hosting (SaaS) with SLA guarantees</w:t>
      </w:r>
    </w:p>
    <w:p>
      <w:pPr>
        <w:pStyle w:val="ListBullet"/>
        <w:ind w:left="648"/>
      </w:pPr>
      <w:r>
        <w:t>Enterprise support contracts and custom integration</w:t>
      </w:r>
    </w:p>
    <w:p>
      <w:pPr>
        <w:pStyle w:val="ListBullet"/>
        <w:ind w:left="648"/>
      </w:pPr>
      <w:r>
        <w:t>Security audit partnerships</w:t>
      </w:r>
    </w:p>
    <w:p>
      <w:pPr>
        <w:pStyle w:val="ListBullet"/>
        <w:ind w:left="648"/>
      </w:pPr>
      <w:r>
        <w:t>Future: dual licensing (AGPL + commercial) for proprietary deployments</w:t>
      </w:r>
    </w:p>
    <w:p>
      <w:pPr>
        <w:spacing w:before="80" w:after="80"/>
        <w:pBdr>
          <w:bottom w:val="single" w:sz="6" w:space="1" w:color="4F46E5"/>
        </w:pBdr>
      </w:pPr>
    </w:p>
    <w:p>
      <w:pPr>
        <w:pStyle w:val="Heading3"/>
      </w:pPr>
      <w:r/>
      <w:r>
        <w:rPr>
          <w:b/>
          <w:color w:val="1D4ED8"/>
          <w:sz w:val="28"/>
        </w:rPr>
        <w:t>The Ask</w:t>
      </w:r>
    </w:p>
    <w:p>
      <w:pPr>
        <w:spacing w:after="120"/>
      </w:pPr>
      <w:r>
        <w:t xml:space="preserve">Seeking </w:t>
      </w:r>
      <w:r>
        <w:rPr>
          <w:b/>
        </w:rPr>
        <w:t>Pre-Seed / Seed funding</w:t>
      </w:r>
      <w:r>
        <w:t xml:space="preserve"> to:</w:t>
      </w:r>
    </w:p>
    <w:p>
      <w:pPr>
        <w:pStyle w:val="ListNumber"/>
      </w:pPr>
      <w:r>
        <w:t>Build core team (smart contract security engineer, DevRel, BD)</w:t>
      </w:r>
    </w:p>
    <w:p>
      <w:pPr>
        <w:pStyle w:val="ListNumber"/>
      </w:pPr>
      <w:r>
        <w:t>Deliver first production deployment with an institutional partner</w:t>
      </w:r>
    </w:p>
    <w:p>
      <w:pPr>
        <w:pStyle w:val="ListNumber"/>
      </w:pPr>
      <w:r>
        <w:t>Complete third-party security audit (Slither, Mythril, manual review)</w:t>
      </w:r>
    </w:p>
    <w:p>
      <w:pPr>
        <w:pStyle w:val="ListNumber"/>
      </w:pPr>
      <w:r>
        <w:t>Launch Web Dashboard for visual cluster management</w:t>
      </w:r>
    </w:p>
    <w:p>
      <w:pPr>
        <w:pStyle w:val="ListNumber"/>
      </w:pPr>
      <w:r>
        <w:t>Submit FSCA as an Ethereum Improvement Proposal (EIP) for ecosystem standardization</w:t>
      </w:r>
    </w:p>
    <w:p>
      <w:pPr>
        <w:spacing w:before="80" w:after="80"/>
        <w:pBdr>
          <w:bottom w:val="single" w:sz="6" w:space="1" w:color="4F46E5"/>
        </w:pBdr>
      </w:pPr>
    </w:p>
    <w:p>
      <w:pPr>
        <w:pStyle w:val="Heading3"/>
      </w:pPr>
      <w:r/>
      <w:r>
        <w:rPr>
          <w:b/>
          <w:color w:val="1D4ED8"/>
          <w:sz w:val="28"/>
        </w:rPr>
        <w:t>Team</w:t>
      </w:r>
    </w:p>
    <w:p>
      <w:pPr>
        <w:spacing w:after="120"/>
      </w:pPr>
      <w:r>
        <w:rPr>
          <w:b/>
        </w:rPr>
        <w:t>Steve</w:t>
      </w:r>
      <w:r>
        <w:t xml:space="preserve"> — Founder and Technical Lead</w:t>
      </w:r>
    </w:p>
    <w:p>
      <w:pPr>
        <w:pStyle w:val="ListBullet"/>
        <w:ind w:left="360"/>
      </w:pPr>
      <w:r>
        <w:t>Sole architect and developer of the entire FSCA stack (~10,000 LOC)</w:t>
      </w:r>
    </w:p>
    <w:p>
      <w:pPr>
        <w:pStyle w:val="ListBullet"/>
        <w:ind w:left="360"/>
      </w:pPr>
      <w:r>
        <w:t>Deep expertise in EVM internals, gas optimization (EIP-2929), and parallel execution models</w:t>
      </w:r>
    </w:p>
    <w:p>
      <w:pPr>
        <w:pStyle w:val="ListBullet"/>
        <w:ind w:left="360"/>
      </w:pPr>
      <w:r>
        <w:t>Actively seeking co-founder with institutional finance / BD background</w:t>
      </w:r>
    </w:p>
    <w:p>
      <w:pPr>
        <w:spacing w:before="80" w:after="80"/>
        <w:pBdr>
          <w:bottom w:val="single" w:sz="6" w:space="1" w:color="4F46E5"/>
        </w:pBdr>
      </w:pPr>
    </w:p>
    <w:p>
      <w:pPr>
        <w:pStyle w:val="Heading3"/>
      </w:pPr>
      <w:r/>
      <w:r>
        <w:rPr>
          <w:b/>
          <w:color w:val="1D4ED8"/>
          <w:sz w:val="28"/>
        </w:rPr>
        <w:t>Contact</w:t>
      </w:r>
    </w:p>
    <w:p>
      <w:pPr>
        <w:pStyle w:val="ListBullet"/>
        <w:ind w:left="360"/>
      </w:pPr>
      <w:r>
        <w:t>GitHub: https://github.com/Steve65535/fsca-cli</w:t>
      </w:r>
    </w:p>
    <w:p>
      <w:pPr>
        <w:pStyle w:val="ListBullet"/>
        <w:ind w:left="360"/>
      </w:pPr>
      <w:r>
        <w:t>npm: https://www.npmjs.com/package/fsca-cli</w:t>
      </w:r>
    </w:p>
    <w:p>
      <w:pPr>
        <w:pStyle w:val="ListBullet"/>
        <w:ind w:left="360"/>
      </w:pPr>
      <w:r>
        <w:t>Email: [to be added]</w:t>
      </w:r>
    </w:p>
    <w:p>
      <w:pPr>
        <w:spacing w:before="80" w:after="80"/>
        <w:pBdr>
          <w:bottom w:val="single" w:sz="6" w:space="1" w:color="4F46E5"/>
        </w:pBdr>
      </w:pPr>
    </w:p>
    <w:p>
      <w:pPr>
        <w:spacing w:after="120"/>
      </w:pPr>
      <w:r>
        <w:t>*FSCA — Build smart contracts like microservices.*</w:t>
      </w:r>
    </w:p>
    <w:p>
      <w:pPr>
        <w:spacing w:after="120"/>
      </w:pPr>
      <w:r>
        <w:t>*Apache 2.0 License. Copyright 2026.*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