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E3A8A"/>
          <w:sz w:val="52"/>
        </w:rPr>
        <w:t>FSCA — 项目执行摘要</w:t>
      </w:r>
    </w:p>
    <w:p>
      <w:pPr>
        <w:pStyle w:val="Heading2"/>
      </w:pPr>
      <w:r/>
      <w:r>
        <w:rPr>
          <w:b/>
          <w:color w:val="1E3A8A"/>
          <w:sz w:val="36"/>
        </w:rPr>
        <w:t>智能合约的 Kubernetes。面向机构。为 Agent 而生。</w:t>
      </w:r>
    </w:p>
    <w:p>
      <w:pPr>
        <w:spacing w:before="80" w:after="80"/>
        <w:pBdr>
          <w:bottom w:val="single" w:sz="6" w:space="1" w:color="4F46E5"/>
        </w:pBdr>
      </w:pPr>
    </w:p>
    <w:p>
      <w:pPr>
        <w:pStyle w:val="Heading3"/>
      </w:pPr>
      <w:r/>
      <w:r>
        <w:rPr>
          <w:b/>
          <w:color w:val="1D4ED8"/>
          <w:sz w:val="28"/>
        </w:rPr>
        <w:t>问题</w:t>
      </w:r>
    </w:p>
    <w:p>
      <w:pPr>
        <w:spacing w:after="120"/>
      </w:pPr>
      <w:r>
        <w:t>当前智能合约以单体形式部署。当任何一个函数需要升级时，整个系统必须重新部署——危及用户资产、破坏上下游集成、要求全量重新审计。</w:t>
      </w:r>
    </w:p>
    <w:p>
      <w:pPr>
        <w:spacing w:after="120"/>
      </w:pPr>
      <w:r>
        <w:t xml:space="preserve">业界主流方案——Diamond 代理模式（EIP-2535）——通过 </w:t>
      </w:r>
      <w:r>
        <w:rPr>
          <w:rFonts w:ascii="Courier New" w:hAnsi="Courier New"/>
          <w:color w:val="BE185D"/>
          <w:sz w:val="18"/>
        </w:rPr>
        <w:t>delegatecall</w:t>
      </w:r>
      <w:r>
        <w:t xml:space="preserve"> 将所有逻辑路由至共享存储命名空间。这引入了一个系统性漏洞：独立开发的模块之间</w:t>
      </w:r>
      <w:r>
        <w:rPr>
          <w:b/>
        </w:rPr>
        <w:t>静默的存储槽碰撞</w:t>
      </w:r>
      <w:r>
        <w:t>。该风险随系统复杂度呈二次方增长——恰恰是机构采用所趋向的方向。</w:t>
      </w:r>
    </w:p>
    <w:p>
      <w:pPr>
        <w:spacing w:after="120"/>
      </w:pPr>
      <w:r>
        <w:t>目前没有任何框架能将模块化部署、运行时依赖管理和多签治理作为统一的、生产可用的技术栈提供。</w:t>
      </w:r>
    </w:p>
    <w:p>
      <w:pPr>
        <w:spacing w:before="80" w:after="80"/>
        <w:pBdr>
          <w:bottom w:val="single" w:sz="6" w:space="1" w:color="4F46E5"/>
        </w:pBdr>
      </w:pPr>
    </w:p>
    <w:p>
      <w:pPr>
        <w:pStyle w:val="Heading3"/>
      </w:pPr>
      <w:r/>
      <w:r>
        <w:rPr>
          <w:b/>
          <w:color w:val="1D4ED8"/>
          <w:sz w:val="28"/>
        </w:rPr>
        <w:t>解决方案：FSCA</w:t>
      </w:r>
    </w:p>
    <w:p>
      <w:pPr>
        <w:spacing w:after="120"/>
      </w:pPr>
      <w:r>
        <w:rPr>
          <w:b/>
        </w:rPr>
        <w:t>FSCA（Full Stack Contract Architecture，全栈合约架构）</w:t>
      </w:r>
      <w:r>
        <w:t>是首个将 Kubernetes 风格容器编排引入区块链的智能合约框架：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1E3A8A"/>
          </w:tcPr>
          <w:p>
            <w:r>
              <w:rPr>
                <w:b/>
                <w:color w:val="FFFFFF"/>
              </w:rPr>
              <w:t>能力</w:t>
            </w:r>
          </w:p>
        </w:tc>
        <w:tc>
          <w:tcPr>
            <w:tcW w:type="dxa" w:w="4419"/>
            <w:shd w:val="clear" w:color="auto" w:fill="1E3A8A"/>
          </w:tcPr>
          <w:p>
            <w:r>
              <w:rPr>
                <w:b/>
                <w:color w:val="FFFFFF"/>
              </w:rPr>
              <w:t>实现方式</w:t>
            </w:r>
          </w:p>
        </w:tc>
      </w:tr>
      <w:tr>
        <w:tc>
          <w:tcPr>
            <w:tcW w:type="dxa" w:w="4419"/>
          </w:tcPr>
          <w:p>
            <w:r>
              <w:t>微服务 Pod</w:t>
            </w:r>
          </w:p>
        </w:tc>
        <w:tc>
          <w:tcPr>
            <w:tcW w:type="dxa" w:w="4419"/>
          </w:tcPr>
          <w:p>
            <w:r>
              <w:t>每个业务模块是独立合约，拥有独立存储——碰撞在物理上不可能发生</w:t>
            </w:r>
          </w:p>
        </w:tc>
      </w:tr>
      <w:tr>
        <w:tc>
          <w:tcPr>
            <w:tcW w:type="dxa" w:w="4419"/>
          </w:tcPr>
          <w:p>
            <w:r>
              <w:t>链上服务网格</w:t>
            </w:r>
          </w:p>
        </w:tc>
        <w:tc>
          <w:tcPr>
            <w:tcW w:type="dxa" w:w="4419"/>
          </w:tcPr>
          <w:p>
            <w:r>
              <w:t>通过有向图实现运行时依赖解析；无硬编码地址</w:t>
            </w:r>
          </w:p>
        </w:tc>
      </w:tr>
      <w:tr>
        <w:tc>
          <w:tcPr>
            <w:tcW w:type="dxa" w:w="4419"/>
          </w:tcPr>
          <w:p>
            <w:r>
              <w:t>零信任验证</w:t>
            </w:r>
          </w:p>
        </w:tc>
        <w:tc>
          <w:tcPr>
            <w:tcW w:type="dxa" w:w="4419"/>
          </w:tcPr>
          <w:p>
            <w:r>
              <w:t>每次跨模块调用经双向链路授权进行密码学校验</w:t>
            </w:r>
          </w:p>
        </w:tc>
      </w:tr>
      <w:tr>
        <w:tc>
          <w:tcPr>
            <w:tcW w:type="dxa" w:w="4419"/>
          </w:tcPr>
          <w:p>
            <w:r>
              <w:t>多签治理</w:t>
            </w:r>
          </w:p>
        </w:tc>
        <w:tc>
          <w:tcPr>
            <w:tcW w:type="dxa" w:w="4419"/>
          </w:tcPr>
          <w:p>
            <w:r>
              <w:t>内置 M-of-N 门限钱包与 ABI 级 RBAC——开箱即 DAO-ready</w:t>
            </w:r>
          </w:p>
        </w:tc>
      </w:tr>
      <w:tr>
        <w:tc>
          <w:tcPr>
            <w:tcW w:type="dxa" w:w="4419"/>
          </w:tcPr>
          <w:p>
            <w:r>
              <w:t>零停机升级</w:t>
            </w:r>
          </w:p>
        </w:tc>
        <w:tc>
          <w:tcPr>
            <w:tcW w:type="dxa" w:w="4419"/>
          </w:tcPr>
          <w:p>
            <w:r>
              <w:t>单条 CLI 命令热替换任意模块，保留所有依赖关系</w:t>
            </w:r>
          </w:p>
        </w:tc>
      </w:tr>
      <w:tr>
        <w:tc>
          <w:tcPr>
            <w:tcW w:type="dxa" w:w="4419"/>
          </w:tcPr>
          <w:p>
            <w:r>
              <w:t>拓扑可视化</w:t>
            </w:r>
          </w:p>
        </w:tc>
        <w:tc>
          <w:tcPr>
            <w:tcW w:type="dxa" w:w="4419"/>
          </w:tcPr>
          <w:p>
            <w:r>
              <w:t>按需生成依赖图，供审计人员和监管机构使用</w:t>
            </w:r>
          </w:p>
        </w:tc>
      </w:tr>
    </w:tbl>
    <w:p/>
    <w:p>
      <w:pPr>
        <w:spacing w:before="80" w:after="80"/>
        <w:pBdr>
          <w:bottom w:val="single" w:sz="6" w:space="1" w:color="4F46E5"/>
        </w:pBdr>
      </w:pPr>
    </w:p>
    <w:p>
      <w:pPr>
        <w:pStyle w:val="Heading3"/>
      </w:pPr>
      <w:r/>
      <w:r>
        <w:rPr>
          <w:b/>
          <w:color w:val="1D4ED8"/>
          <w:sz w:val="28"/>
        </w:rPr>
        <w:t>市场机遇</w:t>
      </w:r>
    </w:p>
    <w:p>
      <w:pPr>
        <w:spacing w:after="120"/>
      </w:pPr>
      <w:r>
        <w:rPr>
          <w:b/>
        </w:rPr>
        <w:t>两大趋势汇聚，创造百亿美元级基础设施 TAM：</w:t>
      </w:r>
    </w:p>
    <w:p>
      <w:pPr>
        <w:spacing w:after="120"/>
      </w:pPr>
      <w:r>
        <w:rPr>
          <w:b/>
        </w:rPr>
        <w:t>1. 机构级链上核心银行系统</w:t>
      </w:r>
    </w:p>
    <w:p>
      <w:pPr>
        <w:spacing w:after="120"/>
      </w:pPr>
      <w:r>
        <w:t>银行将账本、清算和结算系统迁至链上，需要与传统核心银行系统（Temenos、FIS）相同的模块隔离、独立审计范围和多方治理。Diamond 无法提供——FSCA 可以。</w:t>
      </w:r>
    </w:p>
    <w:p>
      <w:pPr>
        <w:spacing w:after="120"/>
      </w:pPr>
      <w:r>
        <w:rPr>
          <w:b/>
        </w:rPr>
        <w:t>2. 代理金融（Agentic Finance）</w:t>
      </w:r>
    </w:p>
    <w:p>
      <w:pPr>
        <w:spacing w:after="120"/>
      </w:pPr>
      <w:r>
        <w:t>链上自主 AI Agent 需要动态服务发现、细粒度权限分层和高频拓扑变更。Diamond 的共享存储和静态路由与这一未来在结构上不兼容。</w:t>
      </w:r>
    </w:p>
    <w:p>
      <w:pPr>
        <w:spacing w:before="80" w:after="80"/>
        <w:pBdr>
          <w:bottom w:val="single" w:sz="6" w:space="1" w:color="4F46E5"/>
        </w:pBdr>
      </w:pPr>
    </w:p>
    <w:p>
      <w:pPr>
        <w:pStyle w:val="Heading3"/>
      </w:pPr>
      <w:r/>
      <w:r>
        <w:rPr>
          <w:b/>
          <w:color w:val="1D4ED8"/>
          <w:sz w:val="28"/>
        </w:rPr>
        <w:t>牵引力与技术成熟度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1E3A8A"/>
          </w:tcPr>
          <w:p>
            <w:r>
              <w:rPr>
                <w:b/>
                <w:color w:val="FFFFFF"/>
              </w:rPr>
              <w:t>里程碑</w:t>
            </w:r>
          </w:p>
        </w:tc>
        <w:tc>
          <w:tcPr>
            <w:tcW w:type="dxa" w:w="4419"/>
            <w:shd w:val="clear" w:color="auto" w:fill="1E3A8A"/>
          </w:tcPr>
          <w:p>
            <w:r>
              <w:rPr>
                <w:b/>
                <w:color w:val="FFFFFF"/>
              </w:rPr>
              <w:t>状态</w:t>
            </w:r>
          </w:p>
        </w:tc>
      </w:tr>
      <w:tr>
        <w:tc>
          <w:tcPr>
            <w:tcW w:type="dxa" w:w="4419"/>
          </w:tcPr>
          <w:p>
            <w:r>
              <w:t>核心框架（4 个 Solidity 合约，约 1,200 行）</w:t>
            </w:r>
          </w:p>
        </w:tc>
        <w:tc>
          <w:tcPr>
            <w:tcW w:type="dxa" w:w="4419"/>
          </w:tcPr>
          <w:p>
            <w:r>
              <w:t>已完成</w:t>
            </w:r>
          </w:p>
        </w:tc>
      </w:tr>
      <w:tr>
        <w:tc>
          <w:tcPr>
            <w:tcW w:type="dxa" w:w="4419"/>
          </w:tcPr>
          <w:p>
            <w:r>
              <w:t>CLI 工具链（18 条命令，约 4,900 行 JavaScript）</w:t>
            </w:r>
          </w:p>
        </w:tc>
        <w:tc>
          <w:tcPr>
            <w:tcW w:type="dxa" w:w="4419"/>
          </w:tcPr>
          <w:p>
            <w:r>
              <w:t>已完成</w:t>
            </w:r>
          </w:p>
        </w:tc>
      </w:tr>
      <w:tr>
        <w:tc>
          <w:tcPr>
            <w:tcW w:type="dxa" w:w="4419"/>
          </w:tcPr>
          <w:p>
            <w:r>
              <w:t>全生命周期集成测试（部署、挂载、链接、升级）</w:t>
            </w:r>
          </w:p>
        </w:tc>
        <w:tc>
          <w:tcPr>
            <w:tcW w:type="dxa" w:w="4419"/>
          </w:tcPr>
          <w:p>
            <w:r>
              <w:t>已通过</w:t>
            </w:r>
          </w:p>
        </w:tc>
      </w:tr>
      <w:tr>
        <w:tc>
          <w:tcPr>
            <w:tcW w:type="dxa" w:w="4419"/>
          </w:tcPr>
          <w:p>
            <w:r>
              <w:t>并行 EVM 兼容性（Sei 测试网）</w:t>
            </w:r>
          </w:p>
        </w:tc>
        <w:tc>
          <w:tcPr>
            <w:tcW w:type="dxa" w:w="4419"/>
          </w:tcPr>
          <w:p>
            <w:r>
              <w:t>已验证</w:t>
            </w:r>
          </w:p>
        </w:tc>
      </w:tr>
      <w:tr>
        <w:tc>
          <w:tcPr>
            <w:tcW w:type="dxa" w:w="4419"/>
          </w:tcPr>
          <w:p>
            <w:r>
              <w:t>文档体系（白皮书、用户指南、Demo——中英双语）</w:t>
            </w:r>
          </w:p>
        </w:tc>
        <w:tc>
          <w:tcPr>
            <w:tcW w:type="dxa" w:w="4419"/>
          </w:tcPr>
          <w:p>
            <w:r>
              <w:t>已完成</w:t>
            </w:r>
          </w:p>
        </w:tc>
      </w:tr>
      <w:tr>
        <w:tc>
          <w:tcPr>
            <w:tcW w:type="dxa" w:w="4419"/>
          </w:tcPr>
          <w:p>
            <w:r>
              <w:t>npm 已发布（fsca-cli）</w:t>
            </w:r>
          </w:p>
        </w:tc>
        <w:tc>
          <w:tcPr>
            <w:tcW w:type="dxa" w:w="4419"/>
          </w:tcPr>
          <w:p>
            <w:r>
              <w:t>已上线</w:t>
            </w:r>
          </w:p>
        </w:tc>
      </w:tr>
      <w:tr>
        <w:tc>
          <w:tcPr>
            <w:tcW w:type="dxa" w:w="4419"/>
          </w:tcPr>
          <w:p>
            <w:r>
              <w:t>总代码量</w:t>
            </w:r>
          </w:p>
        </w:tc>
        <w:tc>
          <w:tcPr>
            <w:tcW w:type="dxa" w:w="4419"/>
          </w:tcPr>
          <w:p>
            <w:r>
              <w:t>约 10,000 行</w:t>
            </w:r>
          </w:p>
        </w:tc>
      </w:tr>
    </w:tbl>
    <w:p/>
    <w:p>
      <w:pPr>
        <w:spacing w:after="120"/>
      </w:pPr>
      <w:r>
        <w:rPr>
          <w:b/>
        </w:rPr>
        <w:t>该框架已实现完全闭环运行</w:t>
      </w:r>
      <w:r>
        <w:t xml:space="preserve"> — 从项目初始化到零停机热替换 — 在 Sei 并行 EVM 测试网上验证。FSCA 的 Per-Pod 存储隔离设计在并行执行环境中实现最大事务并发能力。</w:t>
      </w:r>
    </w:p>
    <w:p>
      <w:pPr>
        <w:spacing w:before="80" w:after="80"/>
        <w:pBdr>
          <w:bottom w:val="single" w:sz="6" w:space="1" w:color="4F46E5"/>
        </w:pBdr>
      </w:pPr>
    </w:p>
    <w:p>
      <w:pPr>
        <w:pStyle w:val="Heading3"/>
      </w:pPr>
      <w:r/>
      <w:r>
        <w:rPr>
          <w:b/>
          <w:color w:val="1D4ED8"/>
          <w:sz w:val="28"/>
        </w:rPr>
        <w:t>竞争定位</w:t>
      </w:r>
    </w:p>
    <w:p>
      <w:pPr>
        <w:pStyle w:val="NoSpacing"/>
        <w:spacing w:before="80" w:after="160"/>
        <w:ind w:left="432"/>
        <w:shd w:val="clear" w:color="auto" w:fill="F3F4F6"/>
      </w:pPr>
      <w:r>
        <w:rPr>
          <w:rFonts w:ascii="Courier New" w:hAnsi="Courier New"/>
          <w:color w:val="1F2A37"/>
          <w:sz w:val="18"/>
        </w:rPr>
        <w:t xml:space="preserve">                    模块化     存储       内置        运行时</w:t>
        <w:br/>
        <w:t xml:space="preserve">                    部署      隔离       治理        链接</w:t>
        <w:br/>
        <w:t>Hardhat               -          -          -          -</w:t>
        <w:br/>
        <w:t>OpenZeppelin Upgrades  -       每合约独立    -          -</w:t>
        <w:br/>
        <w:t>Diamond (EIP-2535)    是       否（共享）    -          -</w:t>
        <w:br/>
        <w:t>FSCA                  是       是（每Pod）  是         是</w:t>
      </w:r>
    </w:p>
    <w:p>
      <w:pPr>
        <w:spacing w:after="120"/>
      </w:pPr>
      <w:r>
        <w:t>FSCA 是唯一同时具备以上四项能力的框架。</w:t>
      </w:r>
    </w:p>
    <w:p>
      <w:pPr>
        <w:spacing w:before="80" w:after="80"/>
        <w:pBdr>
          <w:bottom w:val="single" w:sz="6" w:space="1" w:color="4F46E5"/>
        </w:pBdr>
      </w:pPr>
    </w:p>
    <w:p>
      <w:pPr>
        <w:pStyle w:val="Heading3"/>
      </w:pPr>
      <w:r/>
      <w:r>
        <w:rPr>
          <w:b/>
          <w:color w:val="1D4ED8"/>
          <w:sz w:val="28"/>
        </w:rPr>
        <w:t>商业模式</w:t>
      </w:r>
    </w:p>
    <w:p>
      <w:pPr>
        <w:spacing w:after="120"/>
      </w:pPr>
      <w:r>
        <w:rPr>
          <w:b/>
        </w:rPr>
        <w:t>开放核心 + 双重许可潜力：</w:t>
      </w:r>
    </w:p>
    <w:p>
      <w:pPr>
        <w:pStyle w:val="ListBullet"/>
        <w:ind w:left="360"/>
      </w:pPr>
      <w:r>
        <w:rPr>
          <w:b/>
        </w:rPr>
        <w:t>开源（Apache 2.0）：</w:t>
      </w:r>
      <w:r>
        <w:t xml:space="preserve"> 框架、CLI 和文档——构建社区与开发者采用</w:t>
      </w:r>
    </w:p>
    <w:p>
      <w:pPr>
        <w:pStyle w:val="ListBullet"/>
        <w:ind w:left="360"/>
      </w:pPr>
      <w:r>
        <w:rPr>
          <w:b/>
        </w:rPr>
        <w:t>企业收入来源：</w:t>
      </w:r>
    </w:p>
    <w:p>
      <w:pPr>
        <w:pStyle w:val="ListBullet"/>
        <w:ind w:left="648"/>
      </w:pPr>
      <w:r>
        <w:t>托管 FSCA 集群（SaaS），提供 SLA 保障</w:t>
      </w:r>
    </w:p>
    <w:p>
      <w:pPr>
        <w:pStyle w:val="ListBullet"/>
        <w:ind w:left="648"/>
      </w:pPr>
      <w:r>
        <w:t>企业支持合同与定制集成</w:t>
      </w:r>
    </w:p>
    <w:p>
      <w:pPr>
        <w:pStyle w:val="ListBullet"/>
        <w:ind w:left="648"/>
      </w:pPr>
      <w:r>
        <w:t>安全审计合作</w:t>
      </w:r>
    </w:p>
    <w:p>
      <w:pPr>
        <w:pStyle w:val="ListBullet"/>
        <w:ind w:left="648"/>
      </w:pPr>
      <w:r>
        <w:t>未来：双重许可（AGPL + 商业）用于闭源部署</w:t>
      </w:r>
    </w:p>
    <w:p>
      <w:pPr>
        <w:spacing w:before="80" w:after="80"/>
        <w:pBdr>
          <w:bottom w:val="single" w:sz="6" w:space="1" w:color="4F46E5"/>
        </w:pBdr>
      </w:pPr>
    </w:p>
    <w:p>
      <w:pPr>
        <w:pStyle w:val="Heading3"/>
      </w:pPr>
      <w:r/>
      <w:r>
        <w:rPr>
          <w:b/>
          <w:color w:val="1D4ED8"/>
          <w:sz w:val="28"/>
        </w:rPr>
        <w:t>融资需求</w:t>
      </w:r>
    </w:p>
    <w:p>
      <w:pPr>
        <w:spacing w:after="120"/>
      </w:pPr>
      <w:r>
        <w:t xml:space="preserve">寻求 </w:t>
      </w:r>
      <w:r>
        <w:rPr>
          <w:b/>
        </w:rPr>
        <w:t>Pre-Seed / Seed 轮融资</w:t>
      </w:r>
      <w:r>
        <w:t>，用于：</w:t>
      </w:r>
    </w:p>
    <w:p>
      <w:pPr>
        <w:pStyle w:val="ListNumber"/>
      </w:pPr>
      <w:r>
        <w:t>组建核心团队（智能合约安全工程师、DevRel、BD）</w:t>
      </w:r>
    </w:p>
    <w:p>
      <w:pPr>
        <w:pStyle w:val="ListNumber"/>
      </w:pPr>
      <w:r>
        <w:t>与机构合作伙伴完成首个生产环境部署</w:t>
      </w:r>
    </w:p>
    <w:p>
      <w:pPr>
        <w:pStyle w:val="ListNumber"/>
      </w:pPr>
      <w:r>
        <w:t>完成第三方安全审计（Slither、Mythril、人工审查）</w:t>
      </w:r>
    </w:p>
    <w:p>
      <w:pPr>
        <w:pStyle w:val="ListNumber"/>
      </w:pPr>
      <w:r>
        <w:t>发布 Web 控制台（可视化集群管理）</w:t>
      </w:r>
    </w:p>
    <w:p>
      <w:pPr>
        <w:pStyle w:val="ListNumber"/>
      </w:pPr>
      <w:r>
        <w:t>将 FSCA 提交为以太坊改进提案（EIP），推动生态标准化</w:t>
      </w:r>
    </w:p>
    <w:p>
      <w:pPr>
        <w:spacing w:before="80" w:after="80"/>
        <w:pBdr>
          <w:bottom w:val="single" w:sz="6" w:space="1" w:color="4F46E5"/>
        </w:pBdr>
      </w:pPr>
    </w:p>
    <w:p>
      <w:pPr>
        <w:pStyle w:val="Heading3"/>
      </w:pPr>
      <w:r/>
      <w:r>
        <w:rPr>
          <w:b/>
          <w:color w:val="1D4ED8"/>
          <w:sz w:val="28"/>
        </w:rPr>
        <w:t>团队</w:t>
      </w:r>
    </w:p>
    <w:p>
      <w:pPr>
        <w:spacing w:after="120"/>
      </w:pPr>
      <w:r>
        <w:rPr>
          <w:b/>
        </w:rPr>
        <w:t>Steve</w:t>
      </w:r>
      <w:r>
        <w:t xml:space="preserve"> — 创始人兼技术负责人</w:t>
      </w:r>
    </w:p>
    <w:p>
      <w:pPr>
        <w:pStyle w:val="ListBullet"/>
        <w:ind w:left="360"/>
      </w:pPr>
      <w:r>
        <w:t>FSCA 全栈的唯一架构师和开发者（约 10,000 行代码）</w:t>
      </w:r>
    </w:p>
    <w:p>
      <w:pPr>
        <w:pStyle w:val="ListBullet"/>
        <w:ind w:left="360"/>
      </w:pPr>
      <w:r>
        <w:t>深入理解 EVM 底层、Gas 优化（EIP-2929）和并行执行模型</w:t>
      </w:r>
    </w:p>
    <w:p>
      <w:pPr>
        <w:pStyle w:val="ListBullet"/>
        <w:ind w:left="360"/>
      </w:pPr>
      <w:r>
        <w:t>正在寻找具备机构金融 / BD 背景的联合创始人</w:t>
      </w:r>
    </w:p>
    <w:p>
      <w:pPr>
        <w:spacing w:before="80" w:after="80"/>
        <w:pBdr>
          <w:bottom w:val="single" w:sz="6" w:space="1" w:color="4F46E5"/>
        </w:pBdr>
      </w:pPr>
    </w:p>
    <w:p>
      <w:pPr>
        <w:pStyle w:val="Heading3"/>
      </w:pPr>
      <w:r/>
      <w:r>
        <w:rPr>
          <w:b/>
          <w:color w:val="1D4ED8"/>
          <w:sz w:val="28"/>
        </w:rPr>
        <w:t>联系方式</w:t>
      </w:r>
    </w:p>
    <w:p>
      <w:pPr>
        <w:pStyle w:val="ListBullet"/>
        <w:ind w:left="360"/>
      </w:pPr>
      <w:r>
        <w:t>GitHub: https://github.com/Steve65535/fsca-cli</w:t>
      </w:r>
    </w:p>
    <w:p>
      <w:pPr>
        <w:pStyle w:val="ListBullet"/>
        <w:ind w:left="360"/>
      </w:pPr>
      <w:r>
        <w:t>npm: https://www.npmjs.com/package/fsca-cli</w:t>
      </w:r>
    </w:p>
    <w:p>
      <w:pPr>
        <w:pStyle w:val="ListBullet"/>
        <w:ind w:left="360"/>
      </w:pPr>
      <w:r>
        <w:t>邮箱: [待补充]</w:t>
      </w:r>
    </w:p>
    <w:p>
      <w:pPr>
        <w:spacing w:before="80" w:after="80"/>
        <w:pBdr>
          <w:bottom w:val="single" w:sz="6" w:space="1" w:color="4F46E5"/>
        </w:pBdr>
      </w:pPr>
    </w:p>
    <w:p>
      <w:pPr>
        <w:spacing w:after="120"/>
      </w:pPr>
      <w:r>
        <w:t>*FSCA — 像构建微服务一样构建智能合约。*</w:t>
      </w:r>
    </w:p>
    <w:p>
      <w:pPr>
        <w:spacing w:after="120"/>
      </w:pPr>
      <w:r>
        <w:t>*Apache 2.0 许可证。版权所有 2026 年。*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