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8d1868e2dae89a0d37e2f5abe8fdb4cc4899c2"/>
    <w:p>
      <w:pPr>
        <w:pStyle w:val="Heading1"/>
      </w:pPr>
      <w:r>
        <w:t xml:space="preserve">RARITAN VALLEY COMMUNITY COLLEGE ACADEMIC COURSE OUTLINE</w:t>
      </w:r>
    </w:p>
    <w:bookmarkEnd w:id="20"/>
    <w:bookmarkStart w:id="31" w:name="grid-100-introduction-to-grid"/>
    <w:p>
      <w:pPr>
        <w:pStyle w:val="Heading1"/>
      </w:pPr>
      <w:r>
        <w:t xml:space="preserve">GRID 100 – Introduction to GRID</w:t>
      </w:r>
    </w:p>
    <w:bookmarkStart w:id="21" w:name="i.-basic-course-information"/>
    <w:p>
      <w:pPr>
        <w:pStyle w:val="Heading2"/>
      </w:pPr>
      <w:r>
        <w:t xml:space="preserve">I. Basic Course Information</w:t>
      </w:r>
    </w:p>
    <w:p>
      <w:pPr>
        <w:pStyle w:val="Compact"/>
        <w:numPr>
          <w:ilvl w:val="0"/>
          <w:numId w:val="1001"/>
        </w:numPr>
      </w:pPr>
      <w:r>
        <w:rPr>
          <w:b/>
          <w:bCs/>
        </w:rPr>
        <w:t xml:space="preserve">Course Number and Title:</w:t>
      </w:r>
      <w:r>
        <w:t xml:space="preserve"> </w:t>
      </w:r>
      <w:r>
        <w:t xml:space="preserve">GRID 100 Introduction to GRID</w:t>
      </w:r>
    </w:p>
    <w:p>
      <w:pPr>
        <w:pStyle w:val="Compact"/>
        <w:numPr>
          <w:ilvl w:val="0"/>
          <w:numId w:val="1001"/>
        </w:numPr>
      </w:pPr>
      <w:r>
        <w:rPr>
          <w:b/>
          <w:bCs/>
        </w:rPr>
        <w:t xml:space="preserve">New or Modified Course:</w:t>
      </w:r>
      <w:r>
        <w:t xml:space="preserve"> </w:t>
      </w:r>
      <w:r>
        <w:t xml:space="preserve">New</w:t>
      </w:r>
    </w:p>
    <w:p>
      <w:pPr>
        <w:pStyle w:val="Compact"/>
        <w:numPr>
          <w:ilvl w:val="0"/>
          <w:numId w:val="1001"/>
        </w:numPr>
      </w:pPr>
      <w:r>
        <w:rPr>
          <w:b/>
          <w:bCs/>
        </w:rPr>
        <w:t xml:space="preserve">Date of Proposal:</w:t>
      </w:r>
    </w:p>
    <w:p>
      <w:pPr>
        <w:pStyle w:val="Compact"/>
        <w:numPr>
          <w:ilvl w:val="1"/>
          <w:numId w:val="1002"/>
        </w:numPr>
      </w:pPr>
      <w:r>
        <w:t xml:space="preserve">Semester: Fall</w:t>
      </w:r>
      <w:r>
        <w:br/>
      </w:r>
    </w:p>
    <w:p>
      <w:pPr>
        <w:pStyle w:val="Compact"/>
        <w:numPr>
          <w:ilvl w:val="1"/>
          <w:numId w:val="1002"/>
        </w:numPr>
      </w:pPr>
      <w:r>
        <w:t xml:space="preserve">Year: 2025</w:t>
      </w:r>
    </w:p>
    <w:p>
      <w:pPr>
        <w:pStyle w:val="Compact"/>
        <w:numPr>
          <w:ilvl w:val="0"/>
          <w:numId w:val="1001"/>
        </w:numPr>
      </w:pPr>
      <w:r>
        <w:rPr>
          <w:b/>
          <w:bCs/>
        </w:rPr>
        <w:t xml:space="preserve">Effective Term:</w:t>
      </w:r>
      <w:r>
        <w:t xml:space="preserve"> </w:t>
      </w:r>
      <w:r>
        <w:t xml:space="preserve">Fall 2026</w:t>
      </w:r>
    </w:p>
    <w:p>
      <w:pPr>
        <w:pStyle w:val="Compact"/>
        <w:numPr>
          <w:ilvl w:val="0"/>
          <w:numId w:val="1001"/>
        </w:numPr>
      </w:pPr>
      <w:r>
        <w:rPr>
          <w:b/>
          <w:bCs/>
        </w:rPr>
        <w:t xml:space="preserve">Sponsoring Department:</w:t>
      </w:r>
      <w:r>
        <w:t xml:space="preserve"> </w:t>
      </w:r>
      <w:r>
        <w:t xml:space="preserve">Arts &amp; Design</w:t>
      </w:r>
    </w:p>
    <w:p>
      <w:pPr>
        <w:pStyle w:val="Compact"/>
        <w:numPr>
          <w:ilvl w:val="0"/>
          <w:numId w:val="1001"/>
        </w:numPr>
      </w:pPr>
      <w:r>
        <w:rPr>
          <w:b/>
          <w:bCs/>
        </w:rPr>
        <w:t xml:space="preserve">Semester Credit Hours:</w:t>
      </w:r>
      <w:r>
        <w:t xml:space="preserve"> </w:t>
      </w:r>
      <w:r>
        <w:t xml:space="preserve">1</w:t>
      </w:r>
    </w:p>
    <w:p>
      <w:pPr>
        <w:pStyle w:val="Compact"/>
        <w:numPr>
          <w:ilvl w:val="0"/>
          <w:numId w:val="1001"/>
        </w:numPr>
      </w:pPr>
      <w:r>
        <w:rPr>
          <w:b/>
          <w:bCs/>
        </w:rPr>
        <w:t xml:space="preserve">Weekly Contact Hours:</w:t>
      </w:r>
      <w:r>
        <w:t xml:space="preserve"> </w:t>
      </w:r>
      <w:r>
        <w:t xml:space="preserve">2</w:t>
      </w:r>
    </w:p>
    <w:p>
      <w:pPr>
        <w:pStyle w:val="Compact"/>
        <w:numPr>
          <w:ilvl w:val="1"/>
          <w:numId w:val="1003"/>
        </w:numPr>
      </w:pPr>
      <w:r>
        <w:t xml:space="preserve">Lecture: 1</w:t>
      </w:r>
    </w:p>
    <w:p>
      <w:pPr>
        <w:pStyle w:val="Compact"/>
        <w:numPr>
          <w:ilvl w:val="1"/>
          <w:numId w:val="1003"/>
        </w:numPr>
      </w:pPr>
      <w:r>
        <w:t xml:space="preserve">Laboratory: 1</w:t>
      </w:r>
      <w:r>
        <w:br/>
      </w:r>
    </w:p>
    <w:p>
      <w:pPr>
        <w:pStyle w:val="Compact"/>
        <w:numPr>
          <w:ilvl w:val="1"/>
          <w:numId w:val="1003"/>
        </w:numPr>
      </w:pPr>
      <w:r>
        <w:t xml:space="preserve">Out of class student work per week: 2.5</w:t>
      </w:r>
    </w:p>
    <w:p>
      <w:pPr>
        <w:pStyle w:val="Compact"/>
        <w:numPr>
          <w:ilvl w:val="0"/>
          <w:numId w:val="1001"/>
        </w:numPr>
      </w:pPr>
    </w:p>
    <w:p>
      <w:pPr>
        <w:pStyle w:val="Compact"/>
        <w:numPr>
          <w:ilvl w:val="1"/>
          <w:numId w:val="1004"/>
        </w:numPr>
      </w:pPr>
      <w:r>
        <w:t xml:space="preserve">☐</w:t>
      </w:r>
      <w:r>
        <w:t xml:space="preserve"> </w:t>
      </w:r>
      <w:r>
        <w:rPr>
          <w:b/>
          <w:bCs/>
        </w:rPr>
        <w:t xml:space="preserve">Prerequisite (s):</w:t>
      </w:r>
    </w:p>
    <w:p>
      <w:pPr>
        <w:pStyle w:val="Compact"/>
        <w:numPr>
          <w:ilvl w:val="1"/>
          <w:numId w:val="1004"/>
        </w:numPr>
      </w:pPr>
      <w:r>
        <w:t xml:space="preserve">☐</w:t>
      </w:r>
      <w:r>
        <w:t xml:space="preserve"> </w:t>
      </w:r>
      <w:r>
        <w:rPr>
          <w:b/>
          <w:bCs/>
        </w:rPr>
        <w:t xml:space="preserve">Corequisite (s):</w:t>
      </w:r>
    </w:p>
    <w:p>
      <w:pPr>
        <w:pStyle w:val="Compact"/>
        <w:numPr>
          <w:ilvl w:val="0"/>
          <w:numId w:val="1001"/>
        </w:numPr>
      </w:pPr>
      <w:r>
        <w:rPr>
          <w:b/>
          <w:bCs/>
        </w:rPr>
        <w:t xml:space="preserve">Additional Fees:</w:t>
      </w:r>
      <w:r>
        <w:t xml:space="preserve"> </w:t>
      </w:r>
      <w:r>
        <w:t xml:space="preserve">No.</w:t>
      </w:r>
    </w:p>
    <w:bookmarkEnd w:id="21"/>
    <w:bookmarkStart w:id="22" w:name="ii.-catalog-description"/>
    <w:p>
      <w:pPr>
        <w:pStyle w:val="Heading2"/>
      </w:pPr>
      <w:r>
        <w:t xml:space="preserve">II. Catalog Description</w:t>
      </w:r>
    </w:p>
    <w:p>
      <w:pPr>
        <w:pStyle w:val="FirstParagraph"/>
      </w:pPr>
      <w:r>
        <w:t xml:space="preserve">This introductory course provides students with an overview of GRID (Game and Real-Time Interactive Design), exploring its foundational concepts, industry trends, and career opportunities. Students will be introduced to the creative, technical, and collaborative aspects of the field, including key terminology, workflow processes, the role of various disciplines within it.</w:t>
      </w:r>
    </w:p>
    <w:p>
      <w:pPr>
        <w:pStyle w:val="BodyText"/>
      </w:pPr>
      <w:r>
        <w:t xml:space="preserve">In addition to coursework, students will receive individualized advising, helping them plan their course of study based on their interests and career goals. They will also be provided guidance on job opportunities, industry expectations, and strategies for building a strong future portfolio or resume.</w:t>
      </w:r>
    </w:p>
    <w:bookmarkEnd w:id="22"/>
    <w:bookmarkStart w:id="23" w:name="iii.-statement-of-course-need"/>
    <w:p>
      <w:pPr>
        <w:pStyle w:val="Heading2"/>
      </w:pPr>
      <w:r>
        <w:t xml:space="preserve">III. Statement of Course Need</w:t>
      </w:r>
    </w:p>
    <w:p>
      <w:pPr>
        <w:pStyle w:val="Compact"/>
        <w:numPr>
          <w:ilvl w:val="0"/>
          <w:numId w:val="1005"/>
        </w:numPr>
      </w:pPr>
      <w:r>
        <w:t xml:space="preserve">The Introduction to GRID course is essential for providing students with a foundational understanding of industry concepts, career pathways, and academic planning. It bridges creative and technical knowledge while integrating faculty advising to help students make informed decisions about their coursework and future careers. By offering early exposure to industry expectations, ethical considerations, and workforce trends, the course enhances student engagement, retention, and long-term success and ensures students are well-prepared for advanced studies and professional opportunities in the field.</w:t>
      </w:r>
    </w:p>
    <w:p>
      <w:pPr>
        <w:pStyle w:val="Compact"/>
        <w:numPr>
          <w:ilvl w:val="0"/>
          <w:numId w:val="1005"/>
        </w:numPr>
      </w:pPr>
      <w:r>
        <w:t xml:space="preserve">This course requires the use of a Computer Lab for research, presentations, and discussions.</w:t>
      </w:r>
    </w:p>
    <w:p>
      <w:pPr>
        <w:pStyle w:val="Compact"/>
        <w:numPr>
          <w:ilvl w:val="0"/>
          <w:numId w:val="1005"/>
        </w:numPr>
      </w:pPr>
      <w:r>
        <w:t xml:space="preserve">Transferability of Course: This course may transfer as a free elective or as part of a Game Design or Digital Media degree program.</w:t>
      </w:r>
    </w:p>
    <w:bookmarkEnd w:id="23"/>
    <w:bookmarkStart w:id="24" w:name="X9257251b3a7d70660613ce231889751f5f77934"/>
    <w:p>
      <w:pPr>
        <w:pStyle w:val="Heading2"/>
      </w:pPr>
      <w:r>
        <w:t xml:space="preserve">IV. Place of Course in College Curriculum</w:t>
      </w:r>
    </w:p>
    <w:p>
      <w:pPr>
        <w:pStyle w:val="Compact"/>
        <w:numPr>
          <w:ilvl w:val="0"/>
          <w:numId w:val="1006"/>
        </w:numPr>
      </w:pPr>
      <w:r>
        <w:t xml:space="preserve">This course meets a program requirement for GRID.</w:t>
      </w:r>
    </w:p>
    <w:p>
      <w:pPr>
        <w:pStyle w:val="Compact"/>
        <w:numPr>
          <w:ilvl w:val="0"/>
          <w:numId w:val="1006"/>
        </w:numPr>
      </w:pPr>
      <w:r>
        <w:t xml:space="preserve">Free Elective</w:t>
      </w:r>
    </w:p>
    <w:p>
      <w:pPr>
        <w:pStyle w:val="Compact"/>
        <w:numPr>
          <w:ilvl w:val="0"/>
          <w:numId w:val="1006"/>
        </w:numPr>
      </w:pPr>
      <w:r>
        <w:t xml:space="preserve">To see course transferability: a) for New Jersey schools, go to the NJ Transfer website, www.njtransfer.org; b) for all other colleges and universities, go to the individual websites.</w:t>
      </w:r>
    </w:p>
    <w:bookmarkEnd w:id="24"/>
    <w:bookmarkStart w:id="25" w:name="v.-outline-of-course-content"/>
    <w:p>
      <w:pPr>
        <w:pStyle w:val="Heading2"/>
      </w:pPr>
      <w:r>
        <w:t xml:space="preserve">V. Outline of Course Content</w:t>
      </w:r>
    </w:p>
    <w:p>
      <w:pPr>
        <w:pStyle w:val="Compact"/>
        <w:numPr>
          <w:ilvl w:val="0"/>
          <w:numId w:val="1007"/>
        </w:numPr>
      </w:pPr>
      <w:r>
        <w:rPr>
          <w:b/>
          <w:bCs/>
        </w:rPr>
        <w:t xml:space="preserve">Introduction to GRID</w:t>
      </w:r>
      <w:r>
        <w:t xml:space="preserve"> </w:t>
      </w:r>
      <w:r>
        <w:t xml:space="preserve">– Overview of the field, course expectations, and faculty advising process.</w:t>
      </w:r>
      <w:r>
        <w:br/>
      </w:r>
    </w:p>
    <w:p>
      <w:pPr>
        <w:pStyle w:val="Compact"/>
        <w:numPr>
          <w:ilvl w:val="0"/>
          <w:numId w:val="1007"/>
        </w:numPr>
      </w:pPr>
      <w:r>
        <w:rPr>
          <w:b/>
          <w:bCs/>
        </w:rPr>
        <w:t xml:space="preserve">Industry Overview</w:t>
      </w:r>
      <w:r>
        <w:t xml:space="preserve"> </w:t>
      </w:r>
      <w:r>
        <w:t xml:space="preserve">– Exploration of career paths, job roles, and industry sectors.</w:t>
      </w:r>
      <w:r>
        <w:br/>
      </w:r>
    </w:p>
    <w:p>
      <w:pPr>
        <w:pStyle w:val="Compact"/>
        <w:numPr>
          <w:ilvl w:val="0"/>
          <w:numId w:val="1007"/>
        </w:numPr>
      </w:pPr>
      <w:r>
        <w:rPr>
          <w:b/>
          <w:bCs/>
        </w:rPr>
        <w:t xml:space="preserve">Essential Tools &amp; Technologies</w:t>
      </w:r>
      <w:r>
        <w:t xml:space="preserve"> </w:t>
      </w:r>
      <w:r>
        <w:t xml:space="preserve">– Introduction to key software, tools, and workflows.</w:t>
      </w:r>
      <w:r>
        <w:br/>
      </w:r>
    </w:p>
    <w:p>
      <w:pPr>
        <w:pStyle w:val="Compact"/>
        <w:numPr>
          <w:ilvl w:val="0"/>
          <w:numId w:val="1007"/>
        </w:numPr>
      </w:pPr>
      <w:r>
        <w:rPr>
          <w:b/>
          <w:bCs/>
        </w:rPr>
        <w:t xml:space="preserve">Creative &amp; Technical Foundations</w:t>
      </w:r>
      <w:r>
        <w:t xml:space="preserve"> </w:t>
      </w:r>
      <w:r>
        <w:t xml:space="preserve">– Understanding the balance between creativity and technical skills.</w:t>
      </w:r>
      <w:r>
        <w:br/>
      </w:r>
    </w:p>
    <w:p>
      <w:pPr>
        <w:pStyle w:val="Compact"/>
        <w:numPr>
          <w:ilvl w:val="0"/>
          <w:numId w:val="1007"/>
        </w:numPr>
      </w:pPr>
      <w:r>
        <w:rPr>
          <w:b/>
          <w:bCs/>
        </w:rPr>
        <w:t xml:space="preserve">Ethics &amp; Professional Standards</w:t>
      </w:r>
      <w:r>
        <w:t xml:space="preserve"> </w:t>
      </w:r>
      <w:r>
        <w:t xml:space="preserve">– Discussion on ethical considerations, professionalism, and industry impact.</w:t>
      </w:r>
      <w:r>
        <w:br/>
      </w:r>
    </w:p>
    <w:p>
      <w:pPr>
        <w:pStyle w:val="Compact"/>
        <w:numPr>
          <w:ilvl w:val="0"/>
          <w:numId w:val="1007"/>
        </w:numPr>
      </w:pPr>
      <w:r>
        <w:rPr>
          <w:b/>
          <w:bCs/>
        </w:rPr>
        <w:t xml:space="preserve">Academic Planning &amp; Advising</w:t>
      </w:r>
      <w:r>
        <w:t xml:space="preserve"> </w:t>
      </w:r>
      <w:r>
        <w:t xml:space="preserve">– Course selection, specializations, and long-term planning.</w:t>
      </w:r>
      <w:r>
        <w:br/>
      </w:r>
    </w:p>
    <w:p>
      <w:pPr>
        <w:pStyle w:val="Compact"/>
        <w:numPr>
          <w:ilvl w:val="0"/>
          <w:numId w:val="1007"/>
        </w:numPr>
      </w:pPr>
      <w:r>
        <w:rPr>
          <w:b/>
          <w:bCs/>
        </w:rPr>
        <w:t xml:space="preserve">Project Management &amp; Collaboration</w:t>
      </w:r>
      <w:r>
        <w:t xml:space="preserve"> </w:t>
      </w:r>
      <w:r>
        <w:t xml:space="preserve">– Industry workflows, teamwork, and communication skills.</w:t>
      </w:r>
      <w:r>
        <w:br/>
      </w:r>
    </w:p>
    <w:p>
      <w:pPr>
        <w:pStyle w:val="Compact"/>
        <w:numPr>
          <w:ilvl w:val="0"/>
          <w:numId w:val="1007"/>
        </w:numPr>
      </w:pPr>
      <w:r>
        <w:rPr>
          <w:b/>
          <w:bCs/>
        </w:rPr>
        <w:t xml:space="preserve">Portfolio &amp; Resume Basics</w:t>
      </w:r>
      <w:r>
        <w:t xml:space="preserve"> </w:t>
      </w:r>
      <w:r>
        <w:t xml:space="preserve">– Introduction to building a professional portfolio and resume, to be revisted in the Portfolio class.</w:t>
      </w:r>
    </w:p>
    <w:p>
      <w:pPr>
        <w:pStyle w:val="Compact"/>
        <w:numPr>
          <w:ilvl w:val="0"/>
          <w:numId w:val="1007"/>
        </w:numPr>
      </w:pPr>
      <w:r>
        <w:rPr>
          <w:b/>
          <w:bCs/>
        </w:rPr>
        <w:t xml:space="preserve">Networking &amp; Industry Engagement</w:t>
      </w:r>
      <w:r>
        <w:t xml:space="preserve"> </w:t>
      </w:r>
      <w:r>
        <w:t xml:space="preserve">– Connecting with professionals, online presence, and career strategies.</w:t>
      </w:r>
      <w:r>
        <w:br/>
      </w:r>
    </w:p>
    <w:p>
      <w:pPr>
        <w:pStyle w:val="Compact"/>
        <w:numPr>
          <w:ilvl w:val="0"/>
          <w:numId w:val="1007"/>
        </w:numPr>
      </w:pPr>
      <w:r>
        <w:rPr>
          <w:b/>
          <w:bCs/>
        </w:rPr>
        <w:t xml:space="preserve">Trends &amp; Innovations in GRID</w:t>
      </w:r>
      <w:r>
        <w:t xml:space="preserve"> </w:t>
      </w:r>
      <w:r>
        <w:t xml:space="preserve">– Exploration of emerging technologies and industry shifts, followed up in Current Issues class.</w:t>
      </w:r>
    </w:p>
    <w:p>
      <w:pPr>
        <w:pStyle w:val="Compact"/>
        <w:numPr>
          <w:ilvl w:val="0"/>
          <w:numId w:val="1007"/>
        </w:numPr>
      </w:pPr>
      <w:r>
        <w:rPr>
          <w:b/>
          <w:bCs/>
        </w:rPr>
        <w:t xml:space="preserve">Freelancing &amp; Entrepreneurship</w:t>
      </w:r>
      <w:r>
        <w:t xml:space="preserve"> </w:t>
      </w:r>
      <w:r>
        <w:t xml:space="preserve">– Understanding independent career paths and business basics.</w:t>
      </w:r>
      <w:r>
        <w:br/>
      </w:r>
    </w:p>
    <w:p>
      <w:pPr>
        <w:pStyle w:val="Compact"/>
        <w:numPr>
          <w:ilvl w:val="0"/>
          <w:numId w:val="1007"/>
        </w:numPr>
      </w:pPr>
      <w:r>
        <w:rPr>
          <w:b/>
          <w:bCs/>
        </w:rPr>
        <w:t xml:space="preserve">Guest Speaker &amp; Industry Insights</w:t>
      </w:r>
      <w:r>
        <w:t xml:space="preserve"> </w:t>
      </w:r>
      <w:r>
        <w:t xml:space="preserve">– Q&amp;A with an industry professional on career growth and opportunities.</w:t>
      </w:r>
      <w:r>
        <w:br/>
      </w:r>
    </w:p>
    <w:p>
      <w:pPr>
        <w:pStyle w:val="Compact"/>
        <w:numPr>
          <w:ilvl w:val="0"/>
          <w:numId w:val="1007"/>
        </w:numPr>
      </w:pPr>
      <w:r>
        <w:rPr>
          <w:b/>
          <w:bCs/>
        </w:rPr>
        <w:t xml:space="preserve">Student Presentations</w:t>
      </w:r>
      <w:r>
        <w:t xml:space="preserve"> </w:t>
      </w:r>
      <w:r>
        <w:t xml:space="preserve">– Sharing academic and career goals, portfolio progress, and takeaways.</w:t>
      </w:r>
      <w:r>
        <w:br/>
      </w:r>
    </w:p>
    <w:p>
      <w:pPr>
        <w:pStyle w:val="Compact"/>
        <w:numPr>
          <w:ilvl w:val="0"/>
          <w:numId w:val="1007"/>
        </w:numPr>
      </w:pPr>
      <w:r>
        <w:rPr>
          <w:b/>
          <w:bCs/>
        </w:rPr>
        <w:t xml:space="preserve">Final Advising &amp; Course Wrap-Up</w:t>
      </w:r>
      <w:r>
        <w:t xml:space="preserve"> </w:t>
      </w:r>
      <w:r>
        <w:t xml:space="preserve">– One-on-one faculty meetings, feedback, and next steps.</w:t>
      </w:r>
    </w:p>
    <w:bookmarkEnd w:id="25"/>
    <w:bookmarkStart w:id="26" w:name="vi."/>
    <w:p>
      <w:pPr>
        <w:pStyle w:val="Heading2"/>
      </w:pPr>
      <w:r>
        <w:t xml:space="preserve">VI.</w:t>
      </w:r>
    </w:p>
    <w:p>
      <w:pPr>
        <w:numPr>
          <w:ilvl w:val="0"/>
          <w:numId w:val="1008"/>
        </w:numPr>
      </w:pPr>
      <w:r>
        <w:rPr>
          <w:b/>
          <w:bCs/>
        </w:rPr>
        <w:t xml:space="preserve">Course Learning Outcomes:</w:t>
      </w:r>
    </w:p>
    <w:p>
      <w:pPr>
        <w:numPr>
          <w:ilvl w:val="0"/>
          <w:numId w:val="1000"/>
        </w:numPr>
      </w:pPr>
      <w:r>
        <w:rPr>
          <w:b/>
          <w:bCs/>
        </w:rPr>
        <w:t xml:space="preserve">At the completion of the course, students will be able to:</w:t>
      </w:r>
    </w:p>
    <w:p>
      <w:pPr>
        <w:pStyle w:val="Compact"/>
        <w:numPr>
          <w:ilvl w:val="1"/>
          <w:numId w:val="1009"/>
        </w:numPr>
      </w:pPr>
      <w:r>
        <w:t xml:space="preserve">Explain the fundamental concepts and principles of GRID.</w:t>
      </w:r>
    </w:p>
    <w:p>
      <w:pPr>
        <w:pStyle w:val="Compact"/>
        <w:numPr>
          <w:ilvl w:val="1"/>
          <w:numId w:val="1009"/>
        </w:numPr>
      </w:pPr>
      <w:r>
        <w:t xml:space="preserve">Identify key roles, tools, and workflows used in the industry.</w:t>
      </w:r>
    </w:p>
    <w:p>
      <w:pPr>
        <w:pStyle w:val="Compact"/>
        <w:numPr>
          <w:ilvl w:val="1"/>
          <w:numId w:val="1009"/>
        </w:numPr>
      </w:pPr>
      <w:r>
        <w:t xml:space="preserve">Discuss current trends, challenges, and future directions in GRID.</w:t>
      </w:r>
    </w:p>
    <w:p>
      <w:pPr>
        <w:pStyle w:val="Compact"/>
        <w:numPr>
          <w:ilvl w:val="1"/>
          <w:numId w:val="1009"/>
        </w:numPr>
      </w:pPr>
      <w:r>
        <w:t xml:space="preserve">Analyze ethical considerations and responsibilities within the field.</w:t>
      </w:r>
    </w:p>
    <w:p>
      <w:pPr>
        <w:pStyle w:val="Compact"/>
        <w:numPr>
          <w:ilvl w:val="1"/>
          <w:numId w:val="1009"/>
        </w:numPr>
      </w:pPr>
      <w:r>
        <w:t xml:space="preserve">Develop an academic and career plan with faculty guidance.</w:t>
      </w:r>
    </w:p>
    <w:p>
      <w:pPr>
        <w:numPr>
          <w:ilvl w:val="0"/>
          <w:numId w:val="1008"/>
        </w:numPr>
      </w:pPr>
      <w:r>
        <w:rPr>
          <w:b/>
          <w:bCs/>
        </w:rPr>
        <w:t xml:space="preserve">Assessment Instruments</w:t>
      </w:r>
    </w:p>
    <w:p>
      <w:pPr>
        <w:pStyle w:val="Compact"/>
        <w:numPr>
          <w:ilvl w:val="1"/>
          <w:numId w:val="1010"/>
        </w:numPr>
      </w:pPr>
      <w:r>
        <w:t xml:space="preserve">Weekly discussion participation</w:t>
      </w:r>
      <w:r>
        <w:br/>
      </w:r>
    </w:p>
    <w:p>
      <w:pPr>
        <w:pStyle w:val="Compact"/>
        <w:numPr>
          <w:ilvl w:val="1"/>
          <w:numId w:val="1010"/>
        </w:numPr>
      </w:pPr>
      <w:r>
        <w:t xml:space="preserve">Research assignments on current industry trends</w:t>
      </w:r>
    </w:p>
    <w:p>
      <w:pPr>
        <w:pStyle w:val="Compact"/>
        <w:numPr>
          <w:ilvl w:val="1"/>
          <w:numId w:val="1010"/>
        </w:numPr>
      </w:pPr>
      <w:r>
        <w:t xml:space="preserve">Final project: Career goals plan.</w:t>
      </w:r>
    </w:p>
    <w:bookmarkEnd w:id="26"/>
    <w:bookmarkStart w:id="27" w:name="vii.-grade-determinants"/>
    <w:p>
      <w:pPr>
        <w:pStyle w:val="Heading2"/>
      </w:pPr>
      <w:r>
        <w:t xml:space="preserve">VII. Grade Determinants</w:t>
      </w:r>
    </w:p>
    <w:p>
      <w:pPr>
        <w:pStyle w:val="Compact"/>
        <w:numPr>
          <w:ilvl w:val="0"/>
          <w:numId w:val="1011"/>
        </w:numPr>
      </w:pPr>
      <w:r>
        <w:t xml:space="preserve">Participation in discussions and debates</w:t>
      </w:r>
      <w:r>
        <w:br/>
      </w:r>
    </w:p>
    <w:p>
      <w:pPr>
        <w:pStyle w:val="Compact"/>
        <w:numPr>
          <w:ilvl w:val="0"/>
          <w:numId w:val="1011"/>
        </w:numPr>
      </w:pPr>
      <w:r>
        <w:t xml:space="preserve">Written reflections on case studies</w:t>
      </w:r>
      <w:r>
        <w:br/>
      </w:r>
    </w:p>
    <w:p>
      <w:pPr>
        <w:pStyle w:val="Compact"/>
        <w:numPr>
          <w:ilvl w:val="0"/>
          <w:numId w:val="1011"/>
        </w:numPr>
      </w:pPr>
      <w:r>
        <w:t xml:space="preserve">Research and presentation assignments</w:t>
      </w:r>
    </w:p>
    <w:p>
      <w:pPr>
        <w:pStyle w:val="Compact"/>
        <w:numPr>
          <w:ilvl w:val="0"/>
          <w:numId w:val="1011"/>
        </w:numPr>
      </w:pPr>
      <w:r>
        <w:t xml:space="preserve">Final career goal report</w:t>
      </w:r>
    </w:p>
    <w:p>
      <w:pPr>
        <w:pStyle w:val="FirstParagraph"/>
      </w:pPr>
      <w:r>
        <w:t xml:space="preserve">The modes and methods for teaching and learning that may be used in the course:</w:t>
      </w:r>
    </w:p>
    <w:p>
      <w:pPr>
        <w:pStyle w:val="Compact"/>
        <w:numPr>
          <w:ilvl w:val="0"/>
          <w:numId w:val="1012"/>
        </w:numPr>
      </w:pPr>
      <w:r>
        <w:t xml:space="preserve">Lecture/discussion</w:t>
      </w:r>
      <w:r>
        <w:br/>
      </w:r>
    </w:p>
    <w:p>
      <w:pPr>
        <w:pStyle w:val="Compact"/>
        <w:numPr>
          <w:ilvl w:val="0"/>
          <w:numId w:val="1012"/>
        </w:numPr>
      </w:pPr>
      <w:r>
        <w:t xml:space="preserve">Hands-on activities</w:t>
      </w:r>
    </w:p>
    <w:p>
      <w:pPr>
        <w:pStyle w:val="Compact"/>
        <w:numPr>
          <w:ilvl w:val="0"/>
          <w:numId w:val="1012"/>
        </w:numPr>
      </w:pPr>
      <w:r>
        <w:t xml:space="preserve">Guest speakers</w:t>
      </w:r>
    </w:p>
    <w:p>
      <w:pPr>
        <w:pStyle w:val="Compact"/>
        <w:numPr>
          <w:ilvl w:val="0"/>
          <w:numId w:val="1012"/>
        </w:numPr>
      </w:pPr>
      <w:r>
        <w:t xml:space="preserve">Final reflections</w:t>
      </w:r>
    </w:p>
    <w:bookmarkEnd w:id="27"/>
    <w:bookmarkStart w:id="28" w:name="viii.-texts-and-materials"/>
    <w:p>
      <w:pPr>
        <w:pStyle w:val="Heading2"/>
      </w:pPr>
      <w:r>
        <w:t xml:space="preserve">VIII. Texts and Materials</w:t>
      </w:r>
    </w:p>
    <w:p>
      <w:pPr>
        <w:pStyle w:val="Compact"/>
        <w:numPr>
          <w:ilvl w:val="0"/>
          <w:numId w:val="1013"/>
        </w:numPr>
      </w:pPr>
      <w:r>
        <w:t xml:space="preserve">Suggested readings and online resources:</w:t>
      </w:r>
    </w:p>
    <w:p>
      <w:pPr>
        <w:pStyle w:val="Compact"/>
        <w:numPr>
          <w:ilvl w:val="1"/>
          <w:numId w:val="1014"/>
        </w:numPr>
      </w:pPr>
      <w:r>
        <w:t xml:space="preserve">Articles and case studies provided</w:t>
      </w:r>
    </w:p>
    <w:p>
      <w:pPr>
        <w:pStyle w:val="Compact"/>
        <w:numPr>
          <w:ilvl w:val="0"/>
          <w:numId w:val="1013"/>
        </w:numPr>
      </w:pPr>
      <w:r>
        <w:t xml:space="preserve">Open Educational Resources (OER) and industry whitepapers</w:t>
      </w:r>
    </w:p>
    <w:bookmarkEnd w:id="28"/>
    <w:bookmarkStart w:id="29" w:name="ix.-resources"/>
    <w:p>
      <w:pPr>
        <w:pStyle w:val="Heading2"/>
      </w:pPr>
      <w:r>
        <w:t xml:space="preserve">IX. Resources</w:t>
      </w:r>
    </w:p>
    <w:p>
      <w:pPr>
        <w:pStyle w:val="Compact"/>
        <w:numPr>
          <w:ilvl w:val="0"/>
          <w:numId w:val="1015"/>
        </w:numPr>
      </w:pPr>
      <w:r>
        <w:t xml:space="preserve">Computer lab with internet and software access</w:t>
      </w:r>
    </w:p>
    <w:bookmarkEnd w:id="29"/>
    <w:bookmarkStart w:id="30" w:name="x.-honors-options"/>
    <w:p>
      <w:pPr>
        <w:pStyle w:val="Heading2"/>
      </w:pPr>
      <w:r>
        <w:t xml:space="preserve">X. Honors Options</w:t>
      </w:r>
    </w:p>
    <w:p>
      <w:pPr>
        <w:pStyle w:val="Compact"/>
        <w:numPr>
          <w:ilvl w:val="0"/>
          <w:numId w:val="1016"/>
        </w:numPr>
      </w:pPr>
      <w:r>
        <w:t xml:space="preserve">☐ Honors Course</w:t>
      </w:r>
    </w:p>
    <w:p>
      <w:pPr>
        <w:pStyle w:val="Compact"/>
        <w:numPr>
          <w:ilvl w:val="0"/>
          <w:numId w:val="1016"/>
        </w:numPr>
      </w:pPr>
      <w:r>
        <w:t xml:space="preserve">☒ N/A</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2025-10-14T14:50:37Z</dcterms:created>
  <dcterms:modified xsi:type="dcterms:W3CDTF">2025-10-14T14:50:37Z</dcterms:modified>
</cp:coreProperties>
</file>

<file path=docProps/custom.xml><?xml version="1.0" encoding="utf-8"?>
<Properties xmlns="http://schemas.openxmlformats.org/officeDocument/2006/custom-properties" xmlns:vt="http://schemas.openxmlformats.org/officeDocument/2006/docPropsVTypes"/>
</file>