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rFonts w:ascii="Times New Roman" w:hAnsi="Times New Roman" w:cs="Times New Roman"/>
          <w:b/>
          <w:caps/>
          <w:color w:themeColor="accent5" w:themeShade="bf" w:val="2F5496"/>
          <w:sz w:val="28"/>
          <w:szCs w:val="28"/>
        </w:rPr>
      </w:pPr>
      <w:r>
        <w:rPr>
          <w:rFonts w:cs="Times New Roman" w:ascii="Times New Roman" w:hAnsi="Times New Roman"/>
          <w:b/>
          <w:caps/>
          <w:color w:themeColor="accent5" w:themeShade="bf" w:val="2F5496"/>
          <w:sz w:val="28"/>
          <w:szCs w:val="28"/>
        </w:rPr>
        <w:t>New Academic Degree Program</w:t>
      </w:r>
    </w:p>
    <w:p>
      <w:pPr>
        <w:pStyle w:val="NoSpacing"/>
        <w:jc w:val="center"/>
        <w:rPr>
          <w:rFonts w:ascii="Times New Roman" w:hAnsi="Times New Roman" w:cs="Times New Roman"/>
          <w:b/>
          <w:caps/>
          <w:color w:themeColor="accent5" w:themeShade="bf" w:val="2F5496"/>
          <w:sz w:val="28"/>
          <w:szCs w:val="28"/>
        </w:rPr>
      </w:pPr>
      <w:r>
        <w:rPr>
          <w:rFonts w:cs="Times New Roman" w:ascii="Times New Roman" w:hAnsi="Times New Roman"/>
          <w:b/>
          <w:caps/>
          <w:color w:themeColor="accent5" w:themeShade="bf" w:val="2F5496"/>
          <w:sz w:val="28"/>
          <w:szCs w:val="28"/>
        </w:rPr>
        <w:t>Summary for Program Announcement</w:t>
      </w:r>
    </w:p>
    <w:p>
      <w:pPr>
        <w:pStyle w:val="Normal"/>
        <w:jc w:val="both"/>
        <w:rPr>
          <w:rFonts w:ascii="Calibri Light" w:hAnsi="Calibri Light" w:asciiTheme="majorHAnsi" w:hAnsiTheme="majorHAnsi"/>
          <w:sz w:val="22"/>
          <w:szCs w:val="22"/>
        </w:rPr>
      </w:pPr>
      <w:r>
        <w:rPr>
          <w:rFonts w:asciiTheme="majorHAnsi" w:hAnsiTheme="majorHAnsi" w:ascii="Calibri Light" w:hAnsi="Calibri Light"/>
          <w:sz w:val="22"/>
          <w:szCs w:val="22"/>
        </w:rPr>
      </w:r>
    </w:p>
    <w:p>
      <w:pPr>
        <w:pStyle w:val="Normal"/>
        <w:rPr>
          <w:rFonts w:cs="Calibri" w:cstheme="minorHAnsi"/>
        </w:rPr>
      </w:pPr>
      <w:r>
        <w:rPr>
          <w:rFonts w:cs="Calibri" w:cstheme="minorHAnsi"/>
        </w:rPr>
      </w:r>
    </w:p>
    <w:tbl>
      <w:tblPr>
        <w:tblW w:w="9344" w:type="dxa"/>
        <w:jc w:val="start"/>
        <w:tblInd w:w="0" w:type="dxa"/>
        <w:tblLayout w:type="fixed"/>
        <w:tblCellMar>
          <w:top w:w="0" w:type="dxa"/>
          <w:start w:w="7" w:type="dxa"/>
          <w:bottom w:w="0" w:type="dxa"/>
          <w:end w:w="10" w:type="dxa"/>
        </w:tblCellMar>
        <w:tblLook w:val="0000" w:noHBand="0" w:noVBand="0" w:firstColumn="0" w:lastRow="0" w:lastColumn="0" w:firstRow="0"/>
      </w:tblPr>
      <w:tblGrid>
        <w:gridCol w:w="3814"/>
        <w:gridCol w:w="5530"/>
      </w:tblGrid>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false"/>
              <w:spacing w:lineRule="exact" w:line="251"/>
              <w:rPr>
                <w:rFonts w:ascii="Times New Roman" w:hAnsi="Times New Roman" w:eastAsia="Times New Roman" w:cs="Times New Roman"/>
                <w:b/>
              </w:rPr>
            </w:pPr>
            <w:r>
              <w:rPr>
                <w:rFonts w:eastAsia="Times New Roman" w:cs="Times New Roman" w:ascii="Times New Roman" w:hAnsi="Times New Roman"/>
                <w:b/>
              </w:rPr>
              <w:t xml:space="preserve"> </w:t>
            </w:r>
            <w:r>
              <w:rPr>
                <w:rFonts w:eastAsia="Times New Roman" w:cs="Times New Roman" w:ascii="Times New Roman" w:hAnsi="Times New Roman"/>
                <w:b/>
              </w:rPr>
              <w:t>Institution</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fals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Raritan Valley Community College</w:t>
            </w:r>
            <w:sdt>
              <w:sdtPr>
                <w:id w:val="586041424"/>
                <w:placeholder>
                  <w:docPart w:val="8BF32DC88E8D41E5BE4F25FA2CCA1F70"/>
                </w:placeholder>
                <w:showingPlcHdr/>
              </w:sdtPr>
              <w:sdtContent>
                <w:r>
                  <w:rPr>
                    <w:rFonts w:eastAsia="Times New Roman" w:cs="Times New Roman" w:ascii="Times New Roman" w:hAnsi="Times New Roman"/>
                  </w:rPr>
                </w:r>
                <w:r>
                  <w:rPr>
                    <w:rFonts w:eastAsia="Times New Roman" w:cs="Times New Roman" w:ascii="Times New Roman" w:hAnsi="Times New Roman"/>
                  </w:rPr>
                </w:r>
              </w:sdtContent>
            </w:sdt>
          </w:p>
        </w:tc>
      </w:tr>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false"/>
              <w:spacing w:lineRule="exact" w:line="251"/>
              <w:rPr>
                <w:rFonts w:ascii="Times New Roman" w:hAnsi="Times New Roman" w:eastAsia="Times New Roman" w:cs="Times New Roman"/>
                <w:b/>
              </w:rPr>
            </w:pPr>
            <w:r>
              <w:rPr>
                <w:rFonts w:eastAsia="Times New Roman" w:cs="Times New Roman" w:ascii="Times New Roman" w:hAnsi="Times New Roman"/>
                <w:b/>
              </w:rPr>
              <w:t xml:space="preserve"> </w:t>
            </w:r>
            <w:r>
              <w:rPr>
                <w:rFonts w:eastAsia="Times New Roman" w:cs="Times New Roman" w:ascii="Times New Roman" w:hAnsi="Times New Roman"/>
                <w:b/>
              </w:rPr>
              <w:t>New</w:t>
            </w:r>
            <w:r>
              <w:rPr>
                <w:rFonts w:eastAsia="Times New Roman" w:cs="Times New Roman" w:ascii="Times New Roman" w:hAnsi="Times New Roman"/>
                <w:b/>
                <w:spacing w:val="-13"/>
              </w:rPr>
              <w:t xml:space="preserve"> Academic Degree </w:t>
            </w:r>
            <w:r>
              <w:rPr>
                <w:rFonts w:eastAsia="Times New Roman" w:cs="Times New Roman" w:ascii="Times New Roman" w:hAnsi="Times New Roman"/>
                <w:b/>
              </w:rPr>
              <w:t>Program</w:t>
            </w:r>
            <w:r>
              <w:rPr>
                <w:rFonts w:eastAsia="Times New Roman" w:cs="Times New Roman" w:ascii="Times New Roman" w:hAnsi="Times New Roman"/>
                <w:b/>
                <w:spacing w:val="-7"/>
              </w:rPr>
              <w:t xml:space="preserve"> </w:t>
            </w:r>
            <w:r>
              <w:rPr>
                <w:rFonts w:eastAsia="Times New Roman" w:cs="Times New Roman" w:ascii="Times New Roman" w:hAnsi="Times New Roman"/>
                <w:b/>
              </w:rPr>
              <w:t>Title</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fals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Game and Real-time Interactive Design</w:t>
            </w:r>
            <w:sdt>
              <w:sdtPr>
                <w:id w:val="1714845577"/>
                <w:placeholder>
                  <w:docPart w:val="6B80A5EE51D94C4DB2AA0AFD0A40C936"/>
                </w:placeholder>
                <w:showingPlcHdr/>
              </w:sdtPr>
              <w:sdtContent>
                <w:r>
                  <w:rPr>
                    <w:rFonts w:eastAsia="Times New Roman" w:cs="Times New Roman" w:ascii="Times New Roman" w:hAnsi="Times New Roman"/>
                  </w:rPr>
                </w:r>
                <w:r>
                  <w:rPr>
                    <w:rFonts w:eastAsia="Times New Roman" w:cs="Times New Roman" w:ascii="Times New Roman" w:hAnsi="Times New Roman"/>
                  </w:rPr>
                </w:r>
              </w:sdtContent>
            </w:sdt>
          </w:p>
        </w:tc>
      </w:tr>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false"/>
              <w:spacing w:lineRule="exact" w:line="253"/>
              <w:rPr>
                <w:rFonts w:ascii="Times New Roman" w:hAnsi="Times New Roman" w:eastAsia="Times New Roman" w:cs="Times New Roman"/>
                <w:b/>
              </w:rPr>
            </w:pPr>
            <w:r>
              <w:rPr>
                <w:rFonts w:eastAsia="Times New Roman" w:cs="Times New Roman" w:ascii="Times New Roman" w:hAnsi="Times New Roman"/>
                <w:b/>
                <w:spacing w:val="-1"/>
              </w:rPr>
              <w:t xml:space="preserve"> </w:t>
            </w:r>
            <w:r>
              <w:rPr>
                <w:rFonts w:eastAsia="Times New Roman" w:cs="Times New Roman" w:ascii="Times New Roman" w:hAnsi="Times New Roman"/>
                <w:b/>
                <w:spacing w:val="-1"/>
              </w:rPr>
              <w:t>Degree</w:t>
            </w:r>
            <w:r>
              <w:rPr>
                <w:rFonts w:eastAsia="Times New Roman" w:cs="Times New Roman" w:ascii="Times New Roman" w:hAnsi="Times New Roman"/>
                <w:b/>
                <w:spacing w:val="-22"/>
              </w:rPr>
              <w:t xml:space="preserve"> </w:t>
            </w:r>
            <w:r>
              <w:rPr>
                <w:rFonts w:eastAsia="Times New Roman" w:cs="Times New Roman" w:ascii="Times New Roman" w:hAnsi="Times New Roman"/>
                <w:b/>
              </w:rPr>
              <w:t>Designation</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fals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Associates of Applied Science (AAS)</w:t>
            </w:r>
            <w:sdt>
              <w:sdtPr>
                <w:id w:val="272673589"/>
                <w:placeholder>
                  <w:docPart w:val="E69595A965924BC3BB1826F19B6992FF"/>
                </w:placeholder>
                <w:showingPlcHdr/>
              </w:sdtPr>
              <w:sdtContent>
                <w:r>
                  <w:rPr>
                    <w:rFonts w:eastAsia="Times New Roman" w:cs="Times New Roman" w:ascii="Times New Roman" w:hAnsi="Times New Roman"/>
                  </w:rPr>
                </w:r>
                <w:r>
                  <w:rPr>
                    <w:rFonts w:eastAsia="Times New Roman" w:cs="Times New Roman" w:ascii="Times New Roman" w:hAnsi="Times New Roman"/>
                  </w:rPr>
                </w:r>
              </w:sdtContent>
            </w:sdt>
          </w:p>
        </w:tc>
      </w:tr>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false"/>
              <w:spacing w:lineRule="exact" w:line="251"/>
              <w:rPr>
                <w:rFonts w:ascii="Times New Roman" w:hAnsi="Times New Roman" w:eastAsia="Times New Roman" w:cs="Times New Roman"/>
                <w:b/>
              </w:rPr>
            </w:pPr>
            <w:r>
              <w:rPr>
                <w:rFonts w:eastAsia="Times New Roman" w:cs="Times New Roman" w:ascii="Times New Roman" w:hAnsi="Times New Roman"/>
                <w:b/>
                <w:spacing w:val="-1"/>
              </w:rPr>
              <w:t xml:space="preserve"> </w:t>
            </w:r>
            <w:r>
              <w:rPr>
                <w:rFonts w:eastAsia="Times New Roman" w:cs="Times New Roman" w:ascii="Times New Roman" w:hAnsi="Times New Roman"/>
                <w:b/>
                <w:spacing w:val="-1"/>
              </w:rPr>
              <w:t>Degree</w:t>
            </w:r>
            <w:r>
              <w:rPr>
                <w:rFonts w:eastAsia="Times New Roman" w:cs="Times New Roman" w:ascii="Times New Roman" w:hAnsi="Times New Roman"/>
                <w:b/>
                <w:spacing w:val="-25"/>
              </w:rPr>
              <w:t xml:space="preserve"> </w:t>
            </w:r>
            <w:r>
              <w:rPr>
                <w:rFonts w:eastAsia="Times New Roman" w:cs="Times New Roman" w:ascii="Times New Roman" w:hAnsi="Times New Roman"/>
                <w:b/>
              </w:rPr>
              <w:t>Abbreviation</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fals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GAME (internal) GRID (external)</w:t>
            </w:r>
            <w:sdt>
              <w:sdtPr>
                <w:id w:val="1676147849"/>
                <w:placeholder>
                  <w:docPart w:val="7CEC7DE81A504CAB8C3C58528986FD8E"/>
                </w:placeholder>
              </w:sdtPr>
              <w:sdtContent>
                <w:r>
                  <w:rPr>
                    <w:rFonts w:eastAsia="Times New Roman" w:cs="Times New Roman" w:ascii="Times New Roman" w:hAnsi="Times New Roman"/>
                  </w:rPr>
                </w:r>
                <w:r>
                  <w:rPr>
                    <w:rFonts w:eastAsia="Times New Roman" w:cs="Times New Roman" w:ascii="Times New Roman" w:hAnsi="Times New Roman"/>
                  </w:rPr>
                </w:r>
              </w:sdtContent>
            </w:sdt>
            <w:bookmarkStart w:id="0" w:name="_GoBack"/>
            <w:bookmarkEnd w:id="0"/>
          </w:p>
        </w:tc>
      </w:tr>
    </w:tbl>
    <w:p>
      <w:pPr>
        <w:pStyle w:val="Normal"/>
        <w:rPr>
          <w:rFonts w:cs="Calibri" w:cstheme="minorHAnsi"/>
        </w:rPr>
      </w:pPr>
      <w:r>
        <w:rPr>
          <w:rFonts w:cs="Calibri" w:cstheme="minorHAnsi"/>
        </w:rPr>
      </w:r>
    </w:p>
    <w:p>
      <w:pPr>
        <w:pStyle w:val="Normal"/>
        <w:rPr>
          <w:rFonts w:ascii="Times New Roman" w:hAnsi="Times New Roman" w:cs="Times New Roman"/>
          <w:b/>
        </w:rPr>
      </w:pPr>
      <w:r>
        <w:rPr>
          <w:rFonts w:cs="Times New Roman" w:ascii="Times New Roman" w:hAnsi="Times New Roman"/>
          <w:b/>
        </w:rPr>
        <w:t>Introduction:</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Raritan Valley Community College is proposing a strategic unification of three established programs — Game Design, Game Art, and Interface Design &amp; Web Development — into a single, cohesive </w:t>
      </w:r>
      <w:r>
        <w:rPr>
          <w:rStyle w:val="Strong"/>
          <w:rFonts w:cs="Times New Roman" w:ascii="Times New Roman" w:hAnsi="Times New Roman"/>
        </w:rPr>
        <w:t>Game and Real-time Interactive Design Program (GRID)</w:t>
      </w:r>
      <w:r>
        <w:rPr>
          <w:rFonts w:cs="Times New Roman" w:ascii="Times New Roman" w:hAnsi="Times New Roman"/>
        </w:rPr>
        <w:t xml:space="preserve">. This transition is a direct response to the profound convergence currently reshaping the interactive media industry. While these disciplines were previously maintained as separate entities to reflect historical industry silos, modern workflows now demand a multidisciplinary approach where technical programming, aesthetic artistry, and user experience (UX) design are inextricably linked.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Overview of proposed new academic degree program:</w:t>
      </w:r>
    </w:p>
    <w:p>
      <w:pPr>
        <w:pStyle w:val="Normal"/>
        <w:rPr>
          <w:rFonts w:ascii="Times New Roman" w:hAnsi="Times New Roman" w:cs="Times New Roman"/>
          <w:b/>
        </w:rPr>
      </w:pPr>
      <w:r>
        <w:rPr>
          <w:rFonts w:cs="Times New Roman" w:ascii="Times New Roman" w:hAnsi="Times New Roman"/>
          <w:b/>
        </w:rPr>
      </w:r>
    </w:p>
    <w:p>
      <w:pPr>
        <w:pStyle w:val="NoSpacing"/>
        <w:rPr>
          <w:rFonts w:ascii="Times New Roman" w:hAnsi="Times New Roman" w:cs="Times New Roman"/>
          <w:b w:val="false"/>
          <w:bCs w:val="false"/>
          <w:i w:val="false"/>
          <w:iCs w:val="false"/>
          <w:sz w:val="24"/>
          <w:szCs w:val="24"/>
          <w:u w:val="none"/>
        </w:rPr>
      </w:pPr>
      <w:r>
        <w:rPr>
          <w:rFonts w:cs="Times New Roman" w:ascii="Times New Roman" w:hAnsi="Times New Roman"/>
          <w:b w:val="false"/>
          <w:bCs w:val="false"/>
          <w:i w:val="false"/>
          <w:iCs w:val="false"/>
          <w:sz w:val="24"/>
          <w:szCs w:val="24"/>
          <w:u w:val="none"/>
        </w:rPr>
        <w:t>Under the previous fragmented structure, students were subject to rigid curricular boundaries that limited academic mobility. For instance, students in the Game Art track were often siloed within traditional fine arts coursework, lacking access to the critical technical asset-production skills essential for game engine integration. Conversely, students in technical tracks lacked the fundamental aesthetic training required for high-level interface design. This structural limitation also prevented the implementation of a universal "Digital Portfolio" course — a critical milestone for all three disciplines — as the existing credit caps only allowed for its inclusion in specific tracks. By consolidating these programs into GRID, we eliminate these structural barriers, providing a unified curriculum that mirrors industry reality and offers students the "wiggle room" necessary to cultivate a multifaceted, professional skill set.</w:t>
      </w:r>
    </w:p>
    <w:p>
      <w:pPr>
        <w:pStyle w:val="NoSpacing"/>
        <w:rPr>
          <w:rFonts w:ascii="Times New Roman" w:hAnsi="Times New Roman" w:cs="Times New Roman"/>
          <w:b w:val="false"/>
          <w:bCs w:val="false"/>
          <w:i w:val="false"/>
          <w:iCs w:val="false"/>
          <w:sz w:val="24"/>
          <w:szCs w:val="24"/>
          <w:u w:val="none"/>
        </w:rPr>
      </w:pPr>
      <w:r>
        <w:rPr>
          <w:rFonts w:cs="Times New Roman" w:ascii="Times New Roman" w:hAnsi="Times New Roman"/>
          <w:b w:val="false"/>
          <w:bCs w:val="false"/>
          <w:i w:val="false"/>
          <w:iCs w:val="false"/>
          <w:sz w:val="24"/>
          <w:szCs w:val="24"/>
          <w:u w:val="none"/>
        </w:rPr>
      </w:r>
    </w:p>
    <w:p>
      <w:pPr>
        <w:pStyle w:val="NoSpacing"/>
        <w:rPr>
          <w:rFonts w:ascii="Times New Roman" w:hAnsi="Times New Roman" w:cs="Times New Roman"/>
          <w:b w:val="false"/>
          <w:bCs w:val="false"/>
          <w:i w:val="false"/>
          <w:iCs w:val="false"/>
          <w:sz w:val="24"/>
          <w:szCs w:val="24"/>
          <w:u w:val="none"/>
        </w:rPr>
      </w:pPr>
      <w:r>
        <w:rPr>
          <w:rFonts w:cs="Times New Roman" w:ascii="Times New Roman" w:hAnsi="Times New Roman"/>
          <w:b w:val="false"/>
          <w:bCs w:val="false"/>
          <w:i w:val="false"/>
          <w:iCs w:val="false"/>
          <w:sz w:val="24"/>
          <w:szCs w:val="24"/>
          <w:u w:val="none"/>
        </w:rPr>
        <w:t xml:space="preserve">GRID </w:t>
      </w:r>
      <w:r>
        <w:rPr>
          <w:rFonts w:cs="Times New Roman" w:ascii="Times New Roman" w:hAnsi="Times New Roman"/>
          <w:b w:val="false"/>
          <w:bCs w:val="false"/>
          <w:i w:val="false"/>
          <w:iCs w:val="false"/>
          <w:sz w:val="24"/>
          <w:szCs w:val="24"/>
          <w:u w:val="none"/>
        </w:rPr>
        <w:t>will serve</w:t>
      </w:r>
      <w:r>
        <w:rPr>
          <w:rFonts w:cs="Times New Roman" w:ascii="Times New Roman" w:hAnsi="Times New Roman"/>
          <w:b w:val="false"/>
          <w:bCs w:val="false"/>
          <w:i w:val="false"/>
          <w:iCs w:val="false"/>
          <w:sz w:val="24"/>
          <w:szCs w:val="24"/>
          <w:u w:val="none"/>
        </w:rPr>
        <w:t xml:space="preserve"> as a vital </w:t>
      </w:r>
      <w:r>
        <w:rPr>
          <w:rFonts w:cs="Times New Roman" w:ascii="Times New Roman" w:hAnsi="Times New Roman"/>
          <w:b w:val="false"/>
          <w:bCs w:val="false"/>
          <w:i w:val="false"/>
          <w:iCs w:val="false"/>
          <w:sz w:val="24"/>
          <w:szCs w:val="24"/>
          <w:u w:val="none"/>
        </w:rPr>
        <w:t>conduit</w:t>
      </w:r>
      <w:r>
        <w:rPr>
          <w:rFonts w:cs="Times New Roman" w:ascii="Times New Roman" w:hAnsi="Times New Roman"/>
          <w:b w:val="false"/>
          <w:bCs w:val="false"/>
          <w:i w:val="false"/>
          <w:iCs w:val="false"/>
          <w:sz w:val="24"/>
          <w:szCs w:val="24"/>
          <w:u w:val="none"/>
        </w:rPr>
        <w:t xml:space="preserve"> </w:t>
      </w:r>
      <w:r>
        <w:rPr>
          <w:rFonts w:cs="Times New Roman" w:ascii="Times New Roman" w:hAnsi="Times New Roman"/>
          <w:b w:val="false"/>
          <w:bCs w:val="false"/>
          <w:i w:val="false"/>
          <w:iCs w:val="false"/>
          <w:sz w:val="24"/>
          <w:szCs w:val="24"/>
          <w:u w:val="none"/>
        </w:rPr>
        <w:t>between the Arts and</w:t>
      </w:r>
      <w:r>
        <w:rPr>
          <w:rFonts w:cs="Times New Roman" w:ascii="Times New Roman" w:hAnsi="Times New Roman"/>
          <w:b w:val="false"/>
          <w:bCs w:val="false"/>
          <w:i w:val="false"/>
          <w:iCs w:val="false"/>
          <w:sz w:val="24"/>
          <w:szCs w:val="24"/>
          <w:u w:val="none"/>
        </w:rPr>
        <w:t xml:space="preserve"> STEM (Science, Technology, Engineering, and Mathematics) landscape at RVCC. Historically, the Arts and Sciences have operated in separate academic silos; GRID breaks this divide by producing a new class of professional: the "hybrid" practitioner. Our goal is to cultivate programmers who possess deep artistic literacy and artists who understand the fundamental mechanics of code and engine-based deployment. This interdisciplinary synergy is </w:t>
      </w:r>
      <w:r>
        <w:rPr>
          <w:rFonts w:cs="Times New Roman" w:ascii="Times New Roman" w:hAnsi="Times New Roman"/>
          <w:b w:val="false"/>
          <w:bCs w:val="false"/>
          <w:i/>
          <w:iCs/>
          <w:sz w:val="24"/>
          <w:szCs w:val="24"/>
          <w:u w:val="none"/>
        </w:rPr>
        <w:t>essential</w:t>
      </w:r>
      <w:r>
        <w:rPr>
          <w:rFonts w:cs="Times New Roman" w:ascii="Times New Roman" w:hAnsi="Times New Roman"/>
          <w:b w:val="false"/>
          <w:bCs w:val="false"/>
          <w:i w:val="false"/>
          <w:iCs w:val="false"/>
          <w:sz w:val="24"/>
          <w:szCs w:val="24"/>
          <w:u w:val="none"/>
        </w:rPr>
        <w:t xml:space="preserve"> for the next generation of digital innovators.</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Sufficient academic quality</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 xml:space="preserve">GRID leverages existing institutional strengths in Arts &amp; Design, utilizing dedicated laboratories to provide a high-fidelity learning environment. </w:t>
      </w:r>
      <w:r>
        <w:rPr>
          <w:rFonts w:cs="Times New Roman" w:ascii="Times New Roman" w:hAnsi="Times New Roman"/>
          <w:b/>
          <w:bCs/>
          <w:sz w:val="24"/>
          <w:szCs w:val="24"/>
        </w:rPr>
        <w:t>The Program Learning Objectives</w:t>
      </w:r>
      <w:r>
        <w:rPr>
          <w:rFonts w:cs="Times New Roman" w:ascii="Times New Roman" w:hAnsi="Times New Roman"/>
          <w:sz w:val="24"/>
          <w:szCs w:val="24"/>
        </w:rPr>
        <w:t xml:space="preserve"> (below) focus on interactive experience design, technical proficiency, problem-solving, and collaborative teamwork, assessed through varied methods:</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ind w:hanging="0" w:start="720"/>
        <w:rPr>
          <w:rFonts w:ascii="Times New Roman" w:hAnsi="Times New Roman" w:cs="Times New Roman"/>
          <w:sz w:val="24"/>
          <w:szCs w:val="24"/>
        </w:rPr>
      </w:pPr>
      <w:r>
        <w:rPr>
          <w:rFonts w:cs="Times New Roman" w:ascii="Times New Roman" w:hAnsi="Times New Roman"/>
          <w:i/>
          <w:iCs/>
          <w:sz w:val="24"/>
          <w:szCs w:val="24"/>
        </w:rPr>
        <w:t xml:space="preserve">1. </w:t>
      </w:r>
      <w:r>
        <w:rPr>
          <w:rFonts w:cs="Times New Roman" w:ascii="Times New Roman" w:hAnsi="Times New Roman"/>
          <w:b/>
          <w:bCs/>
          <w:i/>
          <w:iCs/>
          <w:sz w:val="24"/>
          <w:szCs w:val="24"/>
        </w:rPr>
        <w:t>Interactive Experience Design:</w:t>
      </w:r>
      <w:r>
        <w:rPr>
          <w:rFonts w:cs="Times New Roman" w:ascii="Times New Roman" w:hAnsi="Times New Roman"/>
          <w:b/>
          <w:bCs/>
          <w:sz w:val="24"/>
          <w:szCs w:val="24"/>
        </w:rPr>
        <w:t xml:space="preserve"> </w:t>
      </w:r>
      <w:r>
        <w:rPr>
          <w:rFonts w:cs="Times New Roman" w:ascii="Times New Roman" w:hAnsi="Times New Roman"/>
          <w:sz w:val="24"/>
          <w:szCs w:val="24"/>
        </w:rPr>
        <w:t>Graduates will demonstrate the ability to design and develop interactive digital experiences, including games, web applications, and multimedia projects, using fundamental programming and design principles.</w:t>
      </w:r>
    </w:p>
    <w:p>
      <w:pPr>
        <w:pStyle w:val="NoSpacing"/>
        <w:ind w:hanging="0" w:start="720"/>
        <w:rPr>
          <w:rFonts w:ascii="Times New Roman" w:hAnsi="Times New Roman" w:cs="Times New Roman"/>
          <w:sz w:val="24"/>
          <w:szCs w:val="24"/>
        </w:rPr>
      </w:pPr>
      <w:r>
        <w:rPr>
          <w:rFonts w:cs="Times New Roman" w:ascii="Times New Roman" w:hAnsi="Times New Roman"/>
          <w:sz w:val="24"/>
          <w:szCs w:val="24"/>
        </w:rPr>
      </w:r>
    </w:p>
    <w:p>
      <w:pPr>
        <w:pStyle w:val="NoSpacing"/>
        <w:ind w:hanging="0" w:start="720"/>
        <w:rPr>
          <w:rFonts w:ascii="Times New Roman" w:hAnsi="Times New Roman" w:cs="Times New Roman"/>
          <w:sz w:val="24"/>
          <w:szCs w:val="24"/>
        </w:rPr>
      </w:pPr>
      <w:r>
        <w:rPr>
          <w:rFonts w:cs="Times New Roman" w:ascii="Times New Roman" w:hAnsi="Times New Roman"/>
          <w:i/>
          <w:iCs/>
          <w:sz w:val="24"/>
          <w:szCs w:val="24"/>
        </w:rPr>
        <w:t xml:space="preserve">2. </w:t>
      </w:r>
      <w:r>
        <w:rPr>
          <w:rFonts w:cs="Times New Roman" w:ascii="Times New Roman" w:hAnsi="Times New Roman"/>
          <w:b/>
          <w:bCs/>
          <w:i/>
          <w:iCs/>
          <w:sz w:val="24"/>
          <w:szCs w:val="24"/>
        </w:rPr>
        <w:t>Industry Tool Proficiency:</w:t>
      </w:r>
      <w:r>
        <w:rPr>
          <w:rFonts w:cs="Times New Roman" w:ascii="Times New Roman" w:hAnsi="Times New Roman"/>
          <w:i/>
          <w:iCs/>
          <w:sz w:val="24"/>
          <w:szCs w:val="24"/>
        </w:rPr>
        <w:t xml:space="preserve"> </w:t>
      </w:r>
      <w:r>
        <w:rPr>
          <w:rFonts w:cs="Times New Roman" w:ascii="Times New Roman" w:hAnsi="Times New Roman"/>
          <w:sz w:val="24"/>
          <w:szCs w:val="24"/>
        </w:rPr>
        <w:t>Graduates will effectively utilize industry-standard tools and technologies (such as Unity, Adobe Creative Cloud, and the growing number of Open Source alternatives) for creative computing, game development, interactive art, and rich media production.</w:t>
      </w:r>
    </w:p>
    <w:p>
      <w:pPr>
        <w:pStyle w:val="NoSpacing"/>
        <w:ind w:hanging="0" w:start="720"/>
        <w:rPr>
          <w:rFonts w:ascii="Times New Roman" w:hAnsi="Times New Roman" w:cs="Times New Roman"/>
          <w:sz w:val="24"/>
          <w:szCs w:val="24"/>
        </w:rPr>
      </w:pPr>
      <w:r>
        <w:rPr>
          <w:rFonts w:cs="Times New Roman" w:ascii="Times New Roman" w:hAnsi="Times New Roman"/>
          <w:sz w:val="24"/>
          <w:szCs w:val="24"/>
        </w:rPr>
      </w:r>
    </w:p>
    <w:p>
      <w:pPr>
        <w:pStyle w:val="NoSpacing"/>
        <w:ind w:hanging="0" w:start="720"/>
        <w:rPr>
          <w:rFonts w:ascii="Times New Roman" w:hAnsi="Times New Roman" w:cs="Times New Roman"/>
          <w:sz w:val="24"/>
          <w:szCs w:val="24"/>
        </w:rPr>
      </w:pPr>
      <w:r>
        <w:rPr>
          <w:rFonts w:cs="Times New Roman" w:ascii="Times New Roman" w:hAnsi="Times New Roman"/>
          <w:i/>
          <w:iCs/>
          <w:sz w:val="24"/>
          <w:szCs w:val="24"/>
        </w:rPr>
        <w:t xml:space="preserve">3. </w:t>
      </w:r>
      <w:r>
        <w:rPr>
          <w:rFonts w:cs="Times New Roman" w:ascii="Times New Roman" w:hAnsi="Times New Roman"/>
          <w:b/>
          <w:bCs/>
          <w:i/>
          <w:iCs/>
          <w:sz w:val="24"/>
          <w:szCs w:val="24"/>
        </w:rPr>
        <w:t xml:space="preserve">Problem-Solving &amp; Critical Thinking: </w:t>
      </w:r>
      <w:r>
        <w:rPr>
          <w:rFonts w:cs="Times New Roman" w:ascii="Times New Roman" w:hAnsi="Times New Roman"/>
          <w:sz w:val="24"/>
          <w:szCs w:val="24"/>
        </w:rPr>
        <w:t>Graduates will apply critical thinking and problem-solving skills to address technical and design challenges within interactive media, encompassing user experience and systems implementation.</w:t>
      </w:r>
    </w:p>
    <w:p>
      <w:pPr>
        <w:pStyle w:val="NoSpacing"/>
        <w:ind w:hanging="0" w:start="720"/>
        <w:rPr>
          <w:rFonts w:ascii="Times New Roman" w:hAnsi="Times New Roman" w:cs="Times New Roman"/>
          <w:sz w:val="24"/>
          <w:szCs w:val="24"/>
        </w:rPr>
      </w:pPr>
      <w:r>
        <w:rPr>
          <w:rFonts w:cs="Times New Roman" w:ascii="Times New Roman" w:hAnsi="Times New Roman"/>
          <w:sz w:val="24"/>
          <w:szCs w:val="24"/>
        </w:rPr>
      </w:r>
    </w:p>
    <w:p>
      <w:pPr>
        <w:pStyle w:val="NoSpacing"/>
        <w:ind w:hanging="0" w:start="720"/>
        <w:rPr>
          <w:rFonts w:ascii="Times New Roman" w:hAnsi="Times New Roman" w:cs="Times New Roman"/>
          <w:sz w:val="24"/>
          <w:szCs w:val="24"/>
        </w:rPr>
      </w:pPr>
      <w:r>
        <w:rPr>
          <w:rFonts w:cs="Times New Roman" w:ascii="Times New Roman" w:hAnsi="Times New Roman"/>
          <w:i/>
          <w:iCs/>
          <w:sz w:val="24"/>
          <w:szCs w:val="24"/>
        </w:rPr>
        <w:t xml:space="preserve">4. </w:t>
      </w:r>
      <w:r>
        <w:rPr>
          <w:rFonts w:cs="Times New Roman" w:ascii="Times New Roman" w:hAnsi="Times New Roman"/>
          <w:b/>
          <w:bCs/>
          <w:i/>
          <w:iCs/>
          <w:sz w:val="24"/>
          <w:szCs w:val="24"/>
        </w:rPr>
        <w:t>Collaborative Teamwork:</w:t>
      </w:r>
      <w:r>
        <w:rPr>
          <w:rFonts w:cs="Times New Roman" w:ascii="Times New Roman" w:hAnsi="Times New Roman"/>
          <w:i/>
          <w:iCs/>
          <w:sz w:val="24"/>
          <w:szCs w:val="24"/>
        </w:rPr>
        <w:t xml:space="preserve"> </w:t>
      </w:r>
      <w:r>
        <w:rPr>
          <w:rFonts w:cs="Times New Roman" w:ascii="Times New Roman" w:hAnsi="Times New Roman"/>
          <w:sz w:val="24"/>
          <w:szCs w:val="24"/>
        </w:rPr>
        <w:t>Graduates will collaborate effectively within multidisciplinary teams to produce polished, portfolio-ready projects, demonstrating technical and artistic proficiency.</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The program’s pedagogy is uniquely designed to "practice what we preach"; just as we teach User Experience (UX) as a discipline, we have applied UX principles to our instructional design to optimize student retention and success.</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BodyText"/>
        <w:suppressAutoHyphens w:val="true"/>
        <w:spacing w:lineRule="auto" w:line="240"/>
        <w:rPr>
          <w:rFonts w:ascii="Times New Roman" w:hAnsi="Times New Roman" w:cs="Times New Roman"/>
        </w:rPr>
      </w:pPr>
      <w:r>
        <w:rPr>
          <w:rFonts w:cs="Times New Roman" w:ascii="Times New Roman" w:hAnsi="Times New Roman"/>
        </w:rPr>
        <w:t xml:space="preserve">This is achieved through a series of three 1-credit </w:t>
      </w:r>
      <w:r>
        <w:rPr>
          <w:rStyle w:val="Strong"/>
          <w:rFonts w:cs="Times New Roman" w:ascii="Times New Roman" w:hAnsi="Times New Roman"/>
        </w:rPr>
        <w:t>"Mentoring Touchstone"</w:t>
      </w:r>
      <w:r>
        <w:rPr>
          <w:rFonts w:cs="Times New Roman" w:ascii="Times New Roman" w:hAnsi="Times New Roman"/>
        </w:rPr>
        <w:t xml:space="preserve"> classes, strategically placed at critical milestones in the student journey:</w:t>
      </w:r>
    </w:p>
    <w:p>
      <w:pPr>
        <w:pStyle w:val="BodyText"/>
        <w:numPr>
          <w:ilvl w:val="0"/>
          <w:numId w:val="2"/>
        </w:numPr>
        <w:tabs>
          <w:tab w:val="clear" w:pos="720"/>
          <w:tab w:val="left" w:pos="0" w:leader="none"/>
        </w:tabs>
        <w:suppressAutoHyphens w:val="true"/>
        <w:spacing w:lineRule="auto" w:line="240" w:before="0" w:after="0"/>
        <w:ind w:hanging="283" w:start="709"/>
        <w:rPr>
          <w:rFonts w:ascii="Times New Roman" w:hAnsi="Times New Roman" w:cs="Times New Roman"/>
        </w:rPr>
      </w:pPr>
      <w:r>
        <w:rPr>
          <w:rStyle w:val="Strong"/>
          <w:rFonts w:cs="Times New Roman" w:ascii="Times New Roman" w:hAnsi="Times New Roman"/>
        </w:rPr>
        <w:t>GRID 105 (Introduction to GRID):</w:t>
      </w:r>
      <w:r>
        <w:rPr>
          <w:rFonts w:cs="Times New Roman" w:ascii="Times New Roman" w:hAnsi="Times New Roman"/>
        </w:rPr>
        <w:t xml:space="preserve"> Focuses on foundational industry knowledge, faculty-led academic planning, and the establishment of a student cohort to foster community and reduce early-stage attrition.</w:t>
      </w:r>
    </w:p>
    <w:p>
      <w:pPr>
        <w:pStyle w:val="BodyText"/>
        <w:numPr>
          <w:ilvl w:val="0"/>
          <w:numId w:val="2"/>
        </w:numPr>
        <w:tabs>
          <w:tab w:val="clear" w:pos="720"/>
          <w:tab w:val="left" w:pos="0" w:leader="none"/>
        </w:tabs>
        <w:suppressAutoHyphens w:val="true"/>
        <w:spacing w:lineRule="auto" w:line="240" w:before="0" w:after="0"/>
        <w:ind w:hanging="283" w:start="709"/>
        <w:rPr>
          <w:rFonts w:ascii="Times New Roman" w:hAnsi="Times New Roman" w:cs="Times New Roman"/>
        </w:rPr>
      </w:pPr>
      <w:r>
        <w:rPr>
          <w:rStyle w:val="Strong"/>
          <w:rFonts w:cs="Times New Roman" w:ascii="Times New Roman" w:hAnsi="Times New Roman"/>
        </w:rPr>
        <w:t>GRID 210 (Current Issues in GRID):</w:t>
      </w:r>
      <w:r>
        <w:rPr>
          <w:rFonts w:cs="Times New Roman" w:ascii="Times New Roman" w:hAnsi="Times New Roman"/>
        </w:rPr>
        <w:t xml:space="preserve"> Engages students in the critical analysis of emerging technologies and ethical standards, preparing them for the rapid evolution of the field.</w:t>
      </w:r>
    </w:p>
    <w:p>
      <w:pPr>
        <w:pStyle w:val="BodyText"/>
        <w:numPr>
          <w:ilvl w:val="0"/>
          <w:numId w:val="2"/>
        </w:numPr>
        <w:tabs>
          <w:tab w:val="clear" w:pos="720"/>
          <w:tab w:val="left" w:pos="0" w:leader="none"/>
        </w:tabs>
        <w:suppressAutoHyphens w:val="true"/>
        <w:spacing w:lineRule="auto" w:line="240"/>
        <w:ind w:hanging="283" w:start="709"/>
        <w:rPr>
          <w:rFonts w:ascii="Times New Roman" w:hAnsi="Times New Roman" w:cs="Times New Roman"/>
        </w:rPr>
      </w:pPr>
      <w:r>
        <w:rPr>
          <w:rStyle w:val="Strong"/>
          <w:rFonts w:cs="Times New Roman" w:ascii="Times New Roman" w:hAnsi="Times New Roman"/>
        </w:rPr>
        <w:t>GRID 299 (Digital Portfolio):</w:t>
      </w:r>
      <w:r>
        <w:rPr>
          <w:rFonts w:cs="Times New Roman" w:ascii="Times New Roman" w:hAnsi="Times New Roman"/>
        </w:rPr>
        <w:t xml:space="preserve"> Serves as the capstone of the program, facilitating professional readiness through the curation of industry-standard digital assets.</w:t>
      </w:r>
    </w:p>
    <w:p>
      <w:pPr>
        <w:pStyle w:val="BodyText"/>
        <w:suppressAutoHyphens w:val="true"/>
        <w:spacing w:lineRule="auto" w:line="240"/>
        <w:rPr>
          <w:rFonts w:ascii="Times New Roman" w:hAnsi="Times New Roman" w:cs="Times New Roman"/>
        </w:rPr>
      </w:pPr>
      <w:r>
        <w:rPr>
          <w:rFonts w:cs="Times New Roman" w:ascii="Times New Roman" w:hAnsi="Times New Roman"/>
        </w:rPr>
        <w:t>The program's physical infrastructure is central to its instructional efficacy, backed by two existing computer labs that reside in the Arts Building. Both labs are fully outfitted with</w:t>
      </w:r>
      <w:r>
        <w:rPr>
          <w:rFonts w:cs="Times New Roman" w:ascii="Times New Roman" w:hAnsi="Times New Roman"/>
          <w:sz w:val="24"/>
          <w:szCs w:val="24"/>
        </w:rPr>
        <w:t xml:space="preserve"> industry standard software for developing graphic and motion assets (Adobe and related packages) as well as game design programming and development software such as Unity, alongside Open Source alternatives.</w:t>
      </w:r>
    </w:p>
    <w:p>
      <w:pPr>
        <w:pStyle w:val="BodyText"/>
        <w:suppressAutoHyphens w:val="true"/>
        <w:spacing w:lineRule="auto" w:line="240"/>
        <w:rPr>
          <w:rFonts w:ascii="Times New Roman" w:hAnsi="Times New Roman" w:cs="Times New Roman"/>
        </w:rPr>
      </w:pPr>
      <w:r>
        <w:rPr>
          <w:rFonts w:cs="Times New Roman" w:ascii="Times New Roman" w:hAnsi="Times New Roman"/>
        </w:rPr>
        <w:t xml:space="preserve">Uniquely in </w:t>
      </w:r>
      <w:r>
        <w:rPr>
          <w:rStyle w:val="Strong"/>
          <w:rFonts w:cs="Times New Roman" w:ascii="Times New Roman" w:hAnsi="Times New Roman"/>
        </w:rPr>
        <w:t>GRID Lab 1</w:t>
      </w:r>
      <w:r>
        <w:rPr>
          <w:rFonts w:cs="Times New Roman" w:ascii="Times New Roman" w:hAnsi="Times New Roman"/>
        </w:rPr>
        <w:t xml:space="preserve">, students also have access to a full a Motion Capture suite to bridge the gap between physical performance and digital character animation, translating human movement into technical game assets, as well as a large library of physical board and card games. With a dual-projection and large touch screen displays in </w:t>
      </w:r>
      <w:r>
        <w:rPr>
          <w:rStyle w:val="Strong"/>
          <w:rFonts w:cs="Times New Roman" w:ascii="Times New Roman" w:hAnsi="Times New Roman"/>
        </w:rPr>
        <w:t>GRID Lab 2</w:t>
      </w:r>
      <w:r>
        <w:rPr>
          <w:rFonts w:cs="Times New Roman" w:ascii="Times New Roman" w:hAnsi="Times New Roman"/>
        </w:rPr>
        <w:t>, the environment is optimized for User Experience testing and the development of complex physical-digital systems, such as interactive museum displays and touch interfaces. These hands-on experiences are rigorously assessed through the student's professional portfolio, which serves as the ultimate evidence of technical and artistic proficiency.</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Sufficient evidence of labor market demand for the program</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The GRID program is strategically positioned to meet the escalating workforce demands of the digital economy. The program’s curriculum is explicitly mapped to the Standard Occupational Classification (SOC) system, ensuring that our learning objectives directly translate into measurable professional competencies. Specifically, the program addresses the requirements for Software Developers (15-1252), Web Developers (15-1254), and Web and Digital Interface Designers (15-1255), among others.</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Data from the New Jersey Department of Labor and Workforce Development indicates a period of substantial growth for these specialized roles. Projections for the 2022–2032 period show significant upward trends across our core disciplines:</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15-1252 (Software Developers) — +19.2% or ±10,400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15-1254 (Web Developers) — +13.5% or ±300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15-1255 (Web and Digital Interface Designers) — +11.2% or ±300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27-1014 (Special Effects Artists and Animators) — +0.4% or ±10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27-1029 (Designers, All Others) — +1.3% or ±10</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w:t>
      </w:r>
      <w:hyperlink r:id="rId2">
        <w:r>
          <w:rPr>
            <w:rStyle w:val="Hyperlink"/>
            <w:rFonts w:cs="Times New Roman" w:ascii="Times New Roman" w:hAnsi="Times New Roman"/>
            <w:sz w:val="24"/>
            <w:szCs w:val="24"/>
          </w:rPr>
          <w:t>https://www.nj.gov/labor/labormarketinformation/employment-wages/industry-occupational-projections/index.shtml</w:t>
        </w:r>
      </w:hyperlink>
      <w:r>
        <w:rPr>
          <w:rFonts w:cs="Times New Roman" w:ascii="Times New Roman" w:hAnsi="Times New Roman"/>
          <w:sz w:val="24"/>
          <w:szCs w:val="24"/>
        </w:rPr>
        <w:t>)</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While the program is rooted in the New Jersey workforce, its geographic relevance extends to the broader New York and Philadelphia metropolitan corridor. The proximity to these major technological and creative hubs allows RVCC graduates to transition directly into high-demand roles within the region's established digital media, game development, and software engineering ecosystems. The convergence of technical coding skills and aesthetic design within the GRID curriculum ensures that our graduates are not merely entering the market, but are uniquely qualified to meet the multi-disciplinary needs of these high-growth industries.</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Duplication with comparable programs of study in the State</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While New Jersey offers various specialized programs in isolated disciplines — such as standalone Web Design or traditional Fine Arts — there is a notable absence of a unified, multidisciplinary curriculum that integrates programming, artistry, and user experience.</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 xml:space="preserve">The GRID program fills this critical gap in the state's higher education landscape. Unlike existing programs that focus on a single facet of the pipeline, GRID provides a convergent training model. By breaking down the traditional academic silos between the Arts and the Sciences, we provide a </w:t>
      </w:r>
      <w:r>
        <w:rPr>
          <w:rFonts w:cs="Times New Roman" w:ascii="Times New Roman" w:hAnsi="Times New Roman"/>
          <w:sz w:val="24"/>
          <w:szCs w:val="24"/>
        </w:rPr>
        <w:t>comprehensive</w:t>
      </w:r>
      <w:r>
        <w:rPr>
          <w:rFonts w:cs="Times New Roman" w:ascii="Times New Roman" w:hAnsi="Times New Roman"/>
          <w:sz w:val="24"/>
          <w:szCs w:val="24"/>
        </w:rPr>
        <w:t xml:space="preserve"> educational framework that mirrors the actual, integrated workflow of the modern interactive media industry. This ensures that our students graduate with a "full-stack" </w:t>
      </w:r>
      <w:r>
        <w:rPr>
          <w:rFonts w:cs="Times New Roman" w:ascii="Times New Roman" w:hAnsi="Times New Roman"/>
          <w:sz w:val="24"/>
          <w:szCs w:val="24"/>
        </w:rPr>
        <w:t>(or cross-functional, end-to-end)</w:t>
      </w:r>
      <w:r>
        <w:rPr>
          <w:rFonts w:cs="Times New Roman" w:ascii="Times New Roman" w:hAnsi="Times New Roman"/>
          <w:sz w:val="24"/>
          <w:szCs w:val="24"/>
        </w:rPr>
        <w:t xml:space="preserve"> understanding of digital creation that is currently unavailable through fragmented, single-discipline programs.</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Requirement of significant additional State resources</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rPr>
        <w:t>The implementation of the GRID program is designed to be a model of fiscal responsibility and institutional efficiency. Because this program is a strategic consolidation of three existing, established programs, it leverages a robust, pre-existing infrastructure, requiring no significant new capital investment from the State from the outset.</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CommentText"/>
        <w:spacing w:before="0" w:after="160"/>
        <w:rPr>
          <w:rFonts w:ascii="Times New Roman" w:hAnsi="Times New Roman" w:cs="Times New Roman"/>
          <w:sz w:val="24"/>
          <w:szCs w:val="24"/>
        </w:rPr>
      </w:pPr>
      <w:r>
        <w:rPr>
          <w:rFonts w:cs="Times New Roman" w:ascii="Times New Roman" w:hAnsi="Times New Roman"/>
          <w:sz w:val="24"/>
          <w:szCs w:val="24"/>
        </w:rPr>
        <w:t>The transition to GRID optimizes several key operational areas:</w:t>
      </w:r>
    </w:p>
    <w:p>
      <w:pPr>
        <w:pStyle w:val="CommentText"/>
        <w:numPr>
          <w:ilvl w:val="0"/>
          <w:numId w:val="3"/>
        </w:numPr>
        <w:spacing w:before="0" w:after="160"/>
        <w:rPr>
          <w:rFonts w:ascii="Times New Roman" w:hAnsi="Times New Roman" w:cs="Times New Roman"/>
          <w:sz w:val="24"/>
          <w:szCs w:val="24"/>
        </w:rPr>
      </w:pPr>
      <w:r>
        <w:rPr>
          <w:rFonts w:cs="Times New Roman" w:ascii="Times New Roman" w:hAnsi="Times New Roman"/>
          <w:b/>
          <w:bCs/>
          <w:sz w:val="24"/>
          <w:szCs w:val="24"/>
        </w:rPr>
        <w:t>Administrative Efficiency:</w:t>
      </w:r>
      <w:r>
        <w:rPr>
          <w:rFonts w:cs="Times New Roman" w:ascii="Times New Roman" w:hAnsi="Times New Roman"/>
          <w:sz w:val="24"/>
          <w:szCs w:val="24"/>
        </w:rPr>
        <w:t xml:space="preserve"> The merger reduces the administrative burden by consolidating three separate curricula, three advisory boards, and three management tracks into a single, unified program.</w:t>
      </w:r>
    </w:p>
    <w:p>
      <w:pPr>
        <w:pStyle w:val="CommentText"/>
        <w:numPr>
          <w:ilvl w:val="0"/>
          <w:numId w:val="3"/>
        </w:numPr>
        <w:spacing w:before="0" w:after="160"/>
        <w:rPr>
          <w:rFonts w:ascii="Times New Roman" w:hAnsi="Times New Roman" w:cs="Times New Roman"/>
          <w:sz w:val="24"/>
          <w:szCs w:val="24"/>
        </w:rPr>
      </w:pPr>
      <w:r>
        <w:rPr>
          <w:rFonts w:cs="Times New Roman" w:ascii="Times New Roman" w:hAnsi="Times New Roman"/>
          <w:b/>
          <w:bCs/>
          <w:sz w:val="24"/>
          <w:szCs w:val="24"/>
        </w:rPr>
        <w:t>Resource Optimization:</w:t>
      </w:r>
      <w:r>
        <w:rPr>
          <w:rFonts w:cs="Times New Roman" w:ascii="Times New Roman" w:hAnsi="Times New Roman"/>
          <w:sz w:val="24"/>
          <w:szCs w:val="24"/>
        </w:rPr>
        <w:t xml:space="preserve"> Our laboratories now utilize a standardized software loadout, reducing gaps and redundancies between labs.</w:t>
      </w:r>
    </w:p>
    <w:p>
      <w:pPr>
        <w:pStyle w:val="CommentText"/>
        <w:numPr>
          <w:ilvl w:val="0"/>
          <w:numId w:val="3"/>
        </w:numPr>
        <w:spacing w:before="0" w:after="160"/>
        <w:rPr>
          <w:rFonts w:ascii="Times New Roman" w:hAnsi="Times New Roman" w:cs="Times New Roman"/>
          <w:sz w:val="24"/>
          <w:szCs w:val="24"/>
        </w:rPr>
      </w:pPr>
      <w:r>
        <w:rPr>
          <w:rFonts w:cs="Times New Roman" w:ascii="Times New Roman" w:hAnsi="Times New Roman"/>
          <w:b/>
          <w:bCs/>
          <w:sz w:val="24"/>
          <w:szCs w:val="24"/>
        </w:rPr>
        <w:t>Faculty Utilization:</w:t>
      </w:r>
      <w:r>
        <w:rPr>
          <w:rFonts w:cs="Times New Roman" w:ascii="Times New Roman" w:hAnsi="Times New Roman"/>
          <w:sz w:val="24"/>
          <w:szCs w:val="24"/>
        </w:rPr>
        <w:t xml:space="preserve"> The program maximizes the expertise of our existing full-time faculty, allowing for a more fluid distribution of workload across the domains of software engineering, digital artistry, and UX design.</w:t>
      </w:r>
    </w:p>
    <w:p>
      <w:pPr>
        <w:pStyle w:val="CommentText"/>
        <w:spacing w:before="0" w:after="160"/>
        <w:rPr>
          <w:rFonts w:ascii="Times New Roman" w:hAnsi="Times New Roman" w:cs="Times New Roman"/>
          <w:sz w:val="24"/>
          <w:szCs w:val="24"/>
        </w:rPr>
      </w:pPr>
      <w:r>
        <w:rPr>
          <w:rFonts w:cs="Times New Roman" w:ascii="Times New Roman" w:hAnsi="Times New Roman"/>
          <w:sz w:val="24"/>
          <w:szCs w:val="24"/>
        </w:rPr>
        <w:t xml:space="preserve">GRID is designed to be self-sustaining. It has an initial projected enrollment of 60-70 students </w:t>
      </w:r>
      <w:r>
        <w:rPr>
          <w:rFonts w:cs="Times New Roman" w:ascii="Times New Roman" w:hAnsi="Times New Roman"/>
          <w:sz w:val="24"/>
          <w:szCs w:val="24"/>
        </w:rPr>
        <w:t>(based on current enrollment between the three constituent programs)</w:t>
      </w:r>
      <w:r>
        <w:rPr>
          <w:rFonts w:cs="Times New Roman" w:ascii="Times New Roman" w:hAnsi="Times New Roman"/>
          <w:sz w:val="24"/>
          <w:szCs w:val="24"/>
        </w:rPr>
        <w:t xml:space="preserve"> and a five-year targeted growth trajectory of 115-150 students. This growth will be driven by a strategic outreach and marketing to capture the growing interest in interactive media. Through careful stewardship of existing laboratory, faculty, and digital assets, GRID will achieve operational excellence and long-term stability without reliance on new State resources.</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alibri Light">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960"/>
        </w:tabs>
        <w:ind w:start="960" w:hanging="360"/>
      </w:pPr>
      <w:rPr>
        <w:rFonts w:ascii="Symbol" w:hAnsi="Symbol" w:cs="Symbol" w:hint="default"/>
      </w:rPr>
    </w:lvl>
    <w:lvl w:ilvl="1">
      <w:start w:val="1"/>
      <w:numFmt w:val="bullet"/>
      <w:lvlText w:val="◦"/>
      <w:lvlJc w:val="start"/>
      <w:pPr>
        <w:tabs>
          <w:tab w:val="num" w:pos="1320"/>
        </w:tabs>
        <w:ind w:start="1320" w:hanging="360"/>
      </w:pPr>
      <w:rPr>
        <w:rFonts w:ascii="OpenSymbol" w:hAnsi="OpenSymbol" w:cs="OpenSymbol" w:hint="default"/>
      </w:rPr>
    </w:lvl>
    <w:lvl w:ilvl="2">
      <w:start w:val="1"/>
      <w:numFmt w:val="bullet"/>
      <w:lvlText w:val="▪"/>
      <w:lvlJc w:val="start"/>
      <w:pPr>
        <w:tabs>
          <w:tab w:val="num" w:pos="1680"/>
        </w:tabs>
        <w:ind w:start="1680" w:hanging="360"/>
      </w:pPr>
      <w:rPr>
        <w:rFonts w:ascii="OpenSymbol" w:hAnsi="OpenSymbol" w:cs="OpenSymbol" w:hint="default"/>
      </w:rPr>
    </w:lvl>
    <w:lvl w:ilvl="3">
      <w:start w:val="1"/>
      <w:numFmt w:val="bullet"/>
      <w:lvlText w:val=""/>
      <w:lvlJc w:val="start"/>
      <w:pPr>
        <w:tabs>
          <w:tab w:val="num" w:pos="2040"/>
        </w:tabs>
        <w:ind w:start="2040" w:hanging="360"/>
      </w:pPr>
      <w:rPr>
        <w:rFonts w:ascii="Symbol" w:hAnsi="Symbol" w:cs="Symbol" w:hint="default"/>
      </w:rPr>
    </w:lvl>
    <w:lvl w:ilvl="4">
      <w:start w:val="1"/>
      <w:numFmt w:val="bullet"/>
      <w:lvlText w:val="◦"/>
      <w:lvlJc w:val="start"/>
      <w:pPr>
        <w:tabs>
          <w:tab w:val="num" w:pos="2400"/>
        </w:tabs>
        <w:ind w:start="2400" w:hanging="360"/>
      </w:pPr>
      <w:rPr>
        <w:rFonts w:ascii="OpenSymbol" w:hAnsi="OpenSymbol" w:cs="OpenSymbol" w:hint="default"/>
      </w:rPr>
    </w:lvl>
    <w:lvl w:ilvl="5">
      <w:start w:val="1"/>
      <w:numFmt w:val="bullet"/>
      <w:lvlText w:val="▪"/>
      <w:lvlJc w:val="start"/>
      <w:pPr>
        <w:tabs>
          <w:tab w:val="num" w:pos="2760"/>
        </w:tabs>
        <w:ind w:start="2760" w:hanging="360"/>
      </w:pPr>
      <w:rPr>
        <w:rFonts w:ascii="OpenSymbol" w:hAnsi="OpenSymbol" w:cs="OpenSymbol" w:hint="default"/>
      </w:rPr>
    </w:lvl>
    <w:lvl w:ilvl="6">
      <w:start w:val="1"/>
      <w:numFmt w:val="bullet"/>
      <w:lvlText w:val=""/>
      <w:lvlJc w:val="start"/>
      <w:pPr>
        <w:tabs>
          <w:tab w:val="num" w:pos="3120"/>
        </w:tabs>
        <w:ind w:start="3120" w:hanging="360"/>
      </w:pPr>
      <w:rPr>
        <w:rFonts w:ascii="Symbol" w:hAnsi="Symbol" w:cs="Symbol" w:hint="default"/>
      </w:rPr>
    </w:lvl>
    <w:lvl w:ilvl="7">
      <w:start w:val="1"/>
      <w:numFmt w:val="bullet"/>
      <w:lvlText w:val="◦"/>
      <w:lvlJc w:val="start"/>
      <w:pPr>
        <w:tabs>
          <w:tab w:val="num" w:pos="3480"/>
        </w:tabs>
        <w:ind w:start="3480" w:hanging="360"/>
      </w:pPr>
      <w:rPr>
        <w:rFonts w:ascii="OpenSymbol" w:hAnsi="OpenSymbol" w:cs="OpenSymbol" w:hint="default"/>
      </w:rPr>
    </w:lvl>
    <w:lvl w:ilvl="8">
      <w:start w:val="1"/>
      <w:numFmt w:val="bullet"/>
      <w:lvlText w:val="▪"/>
      <w:lvlJc w:val="start"/>
      <w:pPr>
        <w:tabs>
          <w:tab w:val="num" w:pos="3840"/>
        </w:tabs>
        <w:ind w:start="384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9"/>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c4c59"/>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93605"/>
    <w:rPr>
      <w:sz w:val="24"/>
      <w:szCs w:val="24"/>
    </w:rPr>
  </w:style>
  <w:style w:type="character" w:styleId="FooterChar" w:customStyle="1">
    <w:name w:val="Footer Char"/>
    <w:basedOn w:val="DefaultParagraphFont"/>
    <w:link w:val="Footer"/>
    <w:uiPriority w:val="99"/>
    <w:qFormat/>
    <w:rsid w:val="00393605"/>
    <w:rPr>
      <w:sz w:val="24"/>
      <w:szCs w:val="24"/>
    </w:rPr>
  </w:style>
  <w:style w:type="character" w:styleId="CommentTextChar" w:customStyle="1">
    <w:name w:val="Comment Text Char"/>
    <w:basedOn w:val="DefaultParagraphFont"/>
    <w:link w:val="CommentText"/>
    <w:uiPriority w:val="99"/>
    <w:semiHidden/>
    <w:qFormat/>
    <w:rsid w:val="00bd13c4"/>
    <w:rPr>
      <w:sz w:val="20"/>
      <w:szCs w:val="20"/>
    </w:rPr>
  </w:style>
  <w:style w:type="character" w:styleId="PlaceholderText">
    <w:name w:val="Placeholder Text"/>
    <w:basedOn w:val="DefaultParagraphFont"/>
    <w:uiPriority w:val="99"/>
    <w:semiHidden/>
    <w:qFormat/>
    <w:rsid w:val="00373386"/>
    <w:rPr>
      <w:color w:val="808080"/>
    </w:rPr>
  </w:style>
  <w:style w:type="character" w:styleId="Strong">
    <w:name w:val="Strong"/>
    <w:qFormat/>
    <w:rPr>
      <w:b/>
      <w:bCs/>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393605"/>
    <w:pPr>
      <w:tabs>
        <w:tab w:val="clear" w:pos="720"/>
        <w:tab w:val="center" w:pos="4680" w:leader="none"/>
        <w:tab w:val="right" w:pos="9360" w:leader="none"/>
      </w:tabs>
    </w:pPr>
    <w:rPr/>
  </w:style>
  <w:style w:type="paragraph" w:styleId="Footer">
    <w:name w:val="footer"/>
    <w:basedOn w:val="Normal"/>
    <w:link w:val="FooterChar"/>
    <w:uiPriority w:val="99"/>
    <w:unhideWhenUsed/>
    <w:rsid w:val="00393605"/>
    <w:pPr>
      <w:tabs>
        <w:tab w:val="clear" w:pos="720"/>
        <w:tab w:val="center" w:pos="4680" w:leader="none"/>
        <w:tab w:val="right" w:pos="9360" w:leader="none"/>
      </w:tabs>
    </w:pPr>
    <w:rPr/>
  </w:style>
  <w:style w:type="paragraph" w:styleId="NoSpacing">
    <w:name w:val="No Spacing"/>
    <w:uiPriority w:val="1"/>
    <w:qFormat/>
    <w:rsid w:val="007422f5"/>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CommentText">
    <w:name w:val="annotation text"/>
    <w:basedOn w:val="Normal"/>
    <w:link w:val="CommentTextChar"/>
    <w:uiPriority w:val="99"/>
    <w:semiHidden/>
    <w:unhideWhenUsed/>
    <w:rsid w:val="00bd13c4"/>
    <w:pPr>
      <w:spacing w:before="0" w:after="16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752684"/>
    <w:pPr>
      <w:spacing w:after="0" w:line="240" w:lineRule="auto"/>
    </w:pPr>
    <w:rPr>
      <w:sz w:val="24"/>
      <w:szCs w:val="24"/>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j.gov/labor/labormarketinformation/employment-wages/industry-occupational-projections/index.shtml"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BF32DC88E8D41E5BE4F25FA2CCA1F70"/>
        <w:category>
          <w:name w:val="General"/>
          <w:gallery w:val="placeholder"/>
        </w:category>
        <w:types>
          <w:type w:val="bbPlcHdr"/>
        </w:types>
        <w:behaviors>
          <w:behavior w:val="content"/>
        </w:behaviors>
        <w:guid w:val="{A23EE3A7-1D01-4737-8CC1-4EF99AE50E99}"/>
      </w:docPartPr>
      <w:docPartBody>
        <w:p w:rsidR="00523C7B" w:rsidRDefault="0020409B" w:rsidP="0020409B">
          <w:pPr>
            <w:pStyle w:val="8BF32DC88E8D41E5BE4F25FA2CCA1F70"/>
          </w:pPr>
          <w:r w:rsidRPr="00914A59">
            <w:rPr>
              <w:rStyle w:val="PlaceholderText"/>
            </w:rPr>
            <w:t>Click or tap here to enter text.</w:t>
          </w:r>
        </w:p>
      </w:docPartBody>
    </w:docPart>
    <w:docPart>
      <w:docPartPr>
        <w:name w:val="6B80A5EE51D94C4DB2AA0AFD0A40C936"/>
        <w:category>
          <w:name w:val="General"/>
          <w:gallery w:val="placeholder"/>
        </w:category>
        <w:types>
          <w:type w:val="bbPlcHdr"/>
        </w:types>
        <w:behaviors>
          <w:behavior w:val="content"/>
        </w:behaviors>
        <w:guid w:val="{FB11B3C4-5354-446F-B772-DAE82C5E56D0}"/>
      </w:docPartPr>
      <w:docPartBody>
        <w:p w:rsidR="00523C7B" w:rsidRDefault="0020409B" w:rsidP="0020409B">
          <w:pPr>
            <w:pStyle w:val="6B80A5EE51D94C4DB2AA0AFD0A40C936"/>
          </w:pPr>
          <w:r w:rsidRPr="00914A59">
            <w:rPr>
              <w:rStyle w:val="PlaceholderText"/>
            </w:rPr>
            <w:t>Click or tap here to enter text.</w:t>
          </w:r>
        </w:p>
      </w:docPartBody>
    </w:docPart>
    <w:docPart>
      <w:docPartPr>
        <w:name w:val="E69595A965924BC3BB1826F19B6992FF"/>
        <w:category>
          <w:name w:val="General"/>
          <w:gallery w:val="placeholder"/>
        </w:category>
        <w:types>
          <w:type w:val="bbPlcHdr"/>
        </w:types>
        <w:behaviors>
          <w:behavior w:val="content"/>
        </w:behaviors>
        <w:guid w:val="{D59FE9E7-D008-4D40-89B0-B12C6FB8A5DE}"/>
      </w:docPartPr>
      <w:docPartBody>
        <w:p w:rsidR="00523C7B" w:rsidRDefault="0020409B" w:rsidP="0020409B">
          <w:pPr>
            <w:pStyle w:val="E69595A965924BC3BB1826F19B6992FF"/>
          </w:pPr>
          <w:r w:rsidRPr="00914A59">
            <w:rPr>
              <w:rStyle w:val="PlaceholderText"/>
            </w:rPr>
            <w:t>Click or tap here to enter text.</w:t>
          </w:r>
        </w:p>
      </w:docPartBody>
    </w:docPart>
    <w:docPart>
      <w:docPartPr>
        <w:name w:val="7CEC7DE81A504CAB8C3C58528986FD8E"/>
        <w:category>
          <w:name w:val="General"/>
          <w:gallery w:val="placeholder"/>
        </w:category>
        <w:types>
          <w:type w:val="bbPlcHdr"/>
        </w:types>
        <w:behaviors>
          <w:behavior w:val="content"/>
        </w:behaviors>
        <w:guid w:val="{149287AA-C556-49A7-BA7E-57EDDE7D71D3}"/>
      </w:docPartPr>
      <w:docPartBody>
        <w:p w:rsidR="00523C7B" w:rsidRDefault="0020409B" w:rsidP="0020409B">
          <w:pPr>
            <w:pStyle w:val="7CEC7DE81A504CAB8C3C58528986FD8E"/>
          </w:pPr>
          <w:r w:rsidRPr="00914A5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09B"/>
    <w:rsid w:val="0020409B"/>
    <w:rsid w:val="002F33CA"/>
    <w:rsid w:val="00523C7B"/>
    <w:rsid w:val="00833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409B"/>
    <w:rPr>
      <w:color w:val="808080"/>
    </w:rPr>
  </w:style>
  <w:style w:type="paragraph" w:customStyle="1" w:styleId="8BF32DC88E8D41E5BE4F25FA2CCA1F70">
    <w:name w:val="8BF32DC88E8D41E5BE4F25FA2CCA1F70"/>
    <w:rsid w:val="0020409B"/>
  </w:style>
  <w:style w:type="paragraph" w:customStyle="1" w:styleId="6B80A5EE51D94C4DB2AA0AFD0A40C936">
    <w:name w:val="6B80A5EE51D94C4DB2AA0AFD0A40C936"/>
    <w:rsid w:val="0020409B"/>
  </w:style>
  <w:style w:type="paragraph" w:customStyle="1" w:styleId="E69595A965924BC3BB1826F19B6992FF">
    <w:name w:val="E69595A965924BC3BB1826F19B6992FF"/>
    <w:rsid w:val="0020409B"/>
  </w:style>
  <w:style w:type="paragraph" w:customStyle="1" w:styleId="7CEC7DE81A504CAB8C3C58528986FD8E">
    <w:name w:val="7CEC7DE81A504CAB8C3C58528986FD8E"/>
    <w:rsid w:val="002040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1873</TotalTime>
  <Application>LibreOffice/25.8.6.2$Linux_X86_64 LibreOffice_project/580$Build-2</Application>
  <AppVersion>15.0000</AppVersion>
  <Pages>4</Pages>
  <Words>1367</Words>
  <Characters>8740</Characters>
  <CharactersWithSpaces>10071</CharactersWithSpaces>
  <Paragraphs>48</Paragraphs>
  <Company>Rowan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2022-03-01T22:34:00Z</dcterms:created>
  <dc:creator>Harvey, Roberta K</dc:creator>
  <dc:description/>
  <dc:language>en-US</dc:language>
  <cp:lastModifiedBy/>
  <cp:lastPrinted>2026-06-18T11:50:13Z</cp:lastPrinted>
  <dcterms:modified xsi:type="dcterms:W3CDTF">2026-09-22T21:04:13Z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