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 xml:space="preserve">GRID </w:t>
      </w:r>
      <w:r>
        <w:rPr>
          <w:b/>
          <w:bCs/>
          <w:sz w:val="20"/>
          <w:szCs w:val="28"/>
        </w:rPr>
        <w:t>201</w:t>
      </w:r>
      <w:r>
        <w:rPr>
          <w:b/>
          <w:bCs/>
          <w:sz w:val="20"/>
          <w:szCs w:val="28"/>
        </w:rPr>
        <w:t xml:space="preserve"> – </w:t>
      </w:r>
      <w:r>
        <w:rPr>
          <w:b/>
          <w:bCs/>
          <w:sz w:val="20"/>
          <w:szCs w:val="28"/>
        </w:rPr>
        <w:t>GRID Production I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  <w:r>
            <w:rPr>
              <w:rFonts w:eastAsia="MS Gothic" w:ascii="MS Gothic" w:hAnsi="MS Gothic"/>
              <w:b/>
              <w:sz w:val="20"/>
            </w:rPr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>Rationale: Part of the new GRID Program’s main flight of courses.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LibreOffice/24.8.7.2$Linux_X86_64 LibreOffice_project/480$Build-2</Application>
  <AppVersion>15.0000</AppVersion>
  <Pages>1</Pages>
  <Words>275</Words>
  <Characters>2564</Characters>
  <CharactersWithSpaces>3353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2025-09-16T23:30:52Z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