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jc w:val="center"/>
        <w:rPr>
          <w:rFonts w:ascii="Times New Roman" w:hAnsi="Times New Roman" w:cs="Times New Roman"/>
          <w:b/>
          <w:caps/>
          <w:color w:themeColor="accent5" w:themeShade="bf" w:val="2F5496"/>
          <w:sz w:val="28"/>
          <w:szCs w:val="28"/>
        </w:rPr>
      </w:pPr>
      <w:r>
        <w:rPr>
          <w:rFonts w:cs="Times New Roman" w:ascii="Times New Roman" w:hAnsi="Times New Roman"/>
          <w:b/>
          <w:caps/>
          <w:color w:themeColor="accent5" w:themeShade="bf" w:val="2F5496"/>
          <w:sz w:val="28"/>
          <w:szCs w:val="28"/>
        </w:rPr>
        <w:t>New Academic Degree Program</w:t>
      </w:r>
    </w:p>
    <w:p>
      <w:pPr>
        <w:pStyle w:val="NoSpacing"/>
        <w:jc w:val="center"/>
        <w:rPr>
          <w:rFonts w:ascii="Times New Roman" w:hAnsi="Times New Roman" w:cs="Times New Roman"/>
          <w:b/>
          <w:caps/>
          <w:color w:themeColor="accent5" w:themeShade="bf" w:val="2F5496"/>
          <w:sz w:val="28"/>
          <w:szCs w:val="28"/>
        </w:rPr>
      </w:pPr>
      <w:r>
        <w:rPr>
          <w:rFonts w:cs="Times New Roman" w:ascii="Times New Roman" w:hAnsi="Times New Roman"/>
          <w:b/>
          <w:caps/>
          <w:color w:themeColor="accent5" w:themeShade="bf" w:val="2F5496"/>
          <w:sz w:val="28"/>
          <w:szCs w:val="28"/>
        </w:rPr>
        <w:t>Summary for Program Announcement</w:t>
      </w:r>
    </w:p>
    <w:p>
      <w:pPr>
        <w:pStyle w:val="Normal"/>
        <w:jc w:val="both"/>
        <w:rPr>
          <w:rFonts w:ascii="Calibri Light" w:hAnsi="Calibri Light" w:asciiTheme="majorHAnsi" w:hAnsiTheme="majorHAnsi"/>
          <w:sz w:val="22"/>
          <w:szCs w:val="22"/>
        </w:rPr>
      </w:pPr>
      <w:r>
        <w:rPr>
          <w:rFonts w:asciiTheme="majorHAnsi" w:hAnsiTheme="majorHAnsi" w:ascii="Calibri Light" w:hAnsi="Calibri Light"/>
          <w:sz w:val="22"/>
          <w:szCs w:val="22"/>
        </w:rPr>
      </w:r>
    </w:p>
    <w:p>
      <w:pPr>
        <w:pStyle w:val="Normal"/>
        <w:rPr>
          <w:rFonts w:cs="Calibri" w:cstheme="minorHAnsi"/>
        </w:rPr>
      </w:pPr>
      <w:r>
        <w:rPr>
          <w:rFonts w:cs="Calibri" w:cstheme="minorHAnsi"/>
        </w:rPr>
      </w:r>
    </w:p>
    <w:tbl>
      <w:tblPr>
        <w:tblW w:w="9344" w:type="dxa"/>
        <w:jc w:val="start"/>
        <w:tblInd w:w="0" w:type="dxa"/>
        <w:tblLayout w:type="fixed"/>
        <w:tblCellMar>
          <w:top w:w="0" w:type="dxa"/>
          <w:start w:w="7" w:type="dxa"/>
          <w:bottom w:w="0" w:type="dxa"/>
          <w:end w:w="10" w:type="dxa"/>
        </w:tblCellMar>
        <w:tblLook w:val="0000" w:noHBand="0" w:noVBand="0" w:firstColumn="0" w:lastRow="0" w:lastColumn="0" w:firstRow="0"/>
      </w:tblPr>
      <w:tblGrid>
        <w:gridCol w:w="3814"/>
        <w:gridCol w:w="5530"/>
      </w:tblGrid>
      <w:tr>
        <w:trPr>
          <w:trHeight w:val="432" w:hRule="atLeast"/>
        </w:trPr>
        <w:tc>
          <w:tcPr>
            <w:tcW w:w="3814" w:type="dxa"/>
            <w:tcBorders>
              <w:top w:val="single" w:sz="8" w:space="0" w:color="000000"/>
              <w:start w:val="single" w:sz="6" w:space="0" w:color="000000"/>
              <w:bottom w:val="single" w:sz="8" w:space="0" w:color="000000"/>
              <w:end w:val="single" w:sz="8" w:space="0" w:color="000000"/>
            </w:tcBorders>
            <w:vAlign w:val="center"/>
          </w:tcPr>
          <w:p>
            <w:pPr>
              <w:pStyle w:val="Normal"/>
              <w:overflowPunct w:val="true"/>
              <w:spacing w:lineRule="exact" w:line="251"/>
              <w:rPr>
                <w:rFonts w:ascii="Times New Roman" w:hAnsi="Times New Roman" w:eastAsia="Times New Roman" w:cs="Times New Roman"/>
                <w:b/>
              </w:rPr>
            </w:pPr>
            <w:r>
              <w:rPr>
                <w:rFonts w:eastAsia="Times New Roman" w:cs="Times New Roman" w:ascii="Times New Roman" w:hAnsi="Times New Roman"/>
                <w:b/>
              </w:rPr>
              <w:t xml:space="preserve"> </w:t>
            </w:r>
            <w:r>
              <w:rPr>
                <w:rFonts w:eastAsia="Times New Roman" w:cs="Times New Roman" w:ascii="Times New Roman" w:hAnsi="Times New Roman"/>
                <w:b/>
              </w:rPr>
              <w:t>Institution</w:t>
            </w:r>
          </w:p>
        </w:tc>
        <w:tc>
          <w:tcPr>
            <w:tcW w:w="5530" w:type="dxa"/>
            <w:tcBorders>
              <w:top w:val="single" w:sz="8" w:space="0" w:color="000000"/>
              <w:start w:val="single" w:sz="8" w:space="0" w:color="000000"/>
              <w:bottom w:val="single" w:sz="8" w:space="0" w:color="000000"/>
              <w:end w:val="single" w:sz="6" w:space="0" w:color="000000"/>
            </w:tcBorders>
            <w:vAlign w:val="center"/>
          </w:tcPr>
          <w:p>
            <w:pPr>
              <w:pStyle w:val="Normal"/>
              <w:overflowPunct w:val="true"/>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Raritan Valley Community College</w:t>
            </w:r>
            <w:sdt>
              <w:sdtPr>
                <w:id w:val="586041424"/>
                <w:placeholder>
                  <w:docPart w:val="8BF32DC88E8D41E5BE4F25FA2CCA1F70"/>
                </w:placeholder>
                <w:showingPlcHdr/>
              </w:sdtPr>
              <w:sdtContent>
                <w:r>
                  <w:rPr>
                    <w:rFonts w:eastAsia="Times New Roman" w:cs="Times New Roman" w:ascii="Times New Roman" w:hAnsi="Times New Roman"/>
                  </w:rPr>
                </w:r>
                <w:r>
                  <w:rPr>
                    <w:rFonts w:eastAsia="Times New Roman" w:cs="Times New Roman" w:ascii="Times New Roman" w:hAnsi="Times New Roman"/>
                  </w:rPr>
                </w:r>
              </w:sdtContent>
            </w:sdt>
          </w:p>
        </w:tc>
      </w:tr>
      <w:tr>
        <w:trPr>
          <w:trHeight w:val="432" w:hRule="atLeast"/>
        </w:trPr>
        <w:tc>
          <w:tcPr>
            <w:tcW w:w="3814" w:type="dxa"/>
            <w:tcBorders>
              <w:top w:val="single" w:sz="8" w:space="0" w:color="000000"/>
              <w:start w:val="single" w:sz="6" w:space="0" w:color="000000"/>
              <w:bottom w:val="single" w:sz="8" w:space="0" w:color="000000"/>
              <w:end w:val="single" w:sz="8" w:space="0" w:color="000000"/>
            </w:tcBorders>
            <w:vAlign w:val="center"/>
          </w:tcPr>
          <w:p>
            <w:pPr>
              <w:pStyle w:val="Normal"/>
              <w:overflowPunct w:val="true"/>
              <w:spacing w:lineRule="exact" w:line="251"/>
              <w:rPr>
                <w:rFonts w:ascii="Times New Roman" w:hAnsi="Times New Roman" w:eastAsia="Times New Roman" w:cs="Times New Roman"/>
                <w:b/>
              </w:rPr>
            </w:pPr>
            <w:r>
              <w:rPr>
                <w:rFonts w:eastAsia="Times New Roman" w:cs="Times New Roman" w:ascii="Times New Roman" w:hAnsi="Times New Roman"/>
                <w:b/>
              </w:rPr>
              <w:t xml:space="preserve"> </w:t>
            </w:r>
            <w:r>
              <w:rPr>
                <w:rFonts w:eastAsia="Times New Roman" w:cs="Times New Roman" w:ascii="Times New Roman" w:hAnsi="Times New Roman"/>
                <w:b/>
              </w:rPr>
              <w:t>New</w:t>
            </w:r>
            <w:r>
              <w:rPr>
                <w:rFonts w:eastAsia="Times New Roman" w:cs="Times New Roman" w:ascii="Times New Roman" w:hAnsi="Times New Roman"/>
                <w:b/>
                <w:spacing w:val="-13"/>
              </w:rPr>
              <w:t xml:space="preserve"> Academic Degree </w:t>
            </w:r>
            <w:r>
              <w:rPr>
                <w:rFonts w:eastAsia="Times New Roman" w:cs="Times New Roman" w:ascii="Times New Roman" w:hAnsi="Times New Roman"/>
                <w:b/>
              </w:rPr>
              <w:t>Program</w:t>
            </w:r>
            <w:r>
              <w:rPr>
                <w:rFonts w:eastAsia="Times New Roman" w:cs="Times New Roman" w:ascii="Times New Roman" w:hAnsi="Times New Roman"/>
                <w:b/>
                <w:spacing w:val="-7"/>
              </w:rPr>
              <w:t xml:space="preserve"> </w:t>
            </w:r>
            <w:r>
              <w:rPr>
                <w:rFonts w:eastAsia="Times New Roman" w:cs="Times New Roman" w:ascii="Times New Roman" w:hAnsi="Times New Roman"/>
                <w:b/>
              </w:rPr>
              <w:t>Title</w:t>
            </w:r>
          </w:p>
        </w:tc>
        <w:tc>
          <w:tcPr>
            <w:tcW w:w="5530" w:type="dxa"/>
            <w:tcBorders>
              <w:top w:val="single" w:sz="8" w:space="0" w:color="000000"/>
              <w:start w:val="single" w:sz="8" w:space="0" w:color="000000"/>
              <w:bottom w:val="single" w:sz="8" w:space="0" w:color="000000"/>
              <w:end w:val="single" w:sz="6" w:space="0" w:color="000000"/>
            </w:tcBorders>
            <w:vAlign w:val="center"/>
          </w:tcPr>
          <w:p>
            <w:pPr>
              <w:pStyle w:val="Normal"/>
              <w:overflowPunct w:val="true"/>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Game and Real-time Interactive Design</w:t>
            </w:r>
            <w:sdt>
              <w:sdtPr>
                <w:id w:val="1714845577"/>
                <w:placeholder>
                  <w:docPart w:val="6B80A5EE51D94C4DB2AA0AFD0A40C936"/>
                </w:placeholder>
                <w:showingPlcHdr/>
              </w:sdtPr>
              <w:sdtContent>
                <w:r>
                  <w:rPr>
                    <w:rFonts w:eastAsia="Times New Roman" w:cs="Times New Roman" w:ascii="Times New Roman" w:hAnsi="Times New Roman"/>
                  </w:rPr>
                </w:r>
                <w:r>
                  <w:rPr>
                    <w:rFonts w:eastAsia="Times New Roman" w:cs="Times New Roman" w:ascii="Times New Roman" w:hAnsi="Times New Roman"/>
                  </w:rPr>
                </w:r>
              </w:sdtContent>
            </w:sdt>
          </w:p>
        </w:tc>
      </w:tr>
      <w:tr>
        <w:trPr>
          <w:trHeight w:val="432" w:hRule="atLeast"/>
        </w:trPr>
        <w:tc>
          <w:tcPr>
            <w:tcW w:w="3814" w:type="dxa"/>
            <w:tcBorders>
              <w:top w:val="single" w:sz="8" w:space="0" w:color="000000"/>
              <w:start w:val="single" w:sz="6" w:space="0" w:color="000000"/>
              <w:bottom w:val="single" w:sz="8" w:space="0" w:color="000000"/>
              <w:end w:val="single" w:sz="8" w:space="0" w:color="000000"/>
            </w:tcBorders>
            <w:vAlign w:val="center"/>
          </w:tcPr>
          <w:p>
            <w:pPr>
              <w:pStyle w:val="Normal"/>
              <w:overflowPunct w:val="true"/>
              <w:spacing w:lineRule="exact" w:line="253"/>
              <w:rPr>
                <w:rFonts w:ascii="Times New Roman" w:hAnsi="Times New Roman" w:eastAsia="Times New Roman" w:cs="Times New Roman"/>
                <w:b/>
              </w:rPr>
            </w:pPr>
            <w:r>
              <w:rPr>
                <w:rFonts w:eastAsia="Times New Roman" w:cs="Times New Roman" w:ascii="Times New Roman" w:hAnsi="Times New Roman"/>
                <w:b/>
                <w:spacing w:val="-1"/>
              </w:rPr>
              <w:t xml:space="preserve"> </w:t>
            </w:r>
            <w:r>
              <w:rPr>
                <w:rFonts w:eastAsia="Times New Roman" w:cs="Times New Roman" w:ascii="Times New Roman" w:hAnsi="Times New Roman"/>
                <w:b/>
                <w:spacing w:val="-1"/>
              </w:rPr>
              <w:t>Degree</w:t>
            </w:r>
            <w:r>
              <w:rPr>
                <w:rFonts w:eastAsia="Times New Roman" w:cs="Times New Roman" w:ascii="Times New Roman" w:hAnsi="Times New Roman"/>
                <w:b/>
                <w:spacing w:val="-22"/>
              </w:rPr>
              <w:t xml:space="preserve"> </w:t>
            </w:r>
            <w:r>
              <w:rPr>
                <w:rFonts w:eastAsia="Times New Roman" w:cs="Times New Roman" w:ascii="Times New Roman" w:hAnsi="Times New Roman"/>
                <w:b/>
              </w:rPr>
              <w:t>Designation</w:t>
            </w:r>
          </w:p>
        </w:tc>
        <w:tc>
          <w:tcPr>
            <w:tcW w:w="5530" w:type="dxa"/>
            <w:tcBorders>
              <w:top w:val="single" w:sz="8" w:space="0" w:color="000000"/>
              <w:start w:val="single" w:sz="8" w:space="0" w:color="000000"/>
              <w:bottom w:val="single" w:sz="8" w:space="0" w:color="000000"/>
              <w:end w:val="single" w:sz="6" w:space="0" w:color="000000"/>
            </w:tcBorders>
            <w:vAlign w:val="center"/>
          </w:tcPr>
          <w:p>
            <w:pPr>
              <w:pStyle w:val="Normal"/>
              <w:overflowPunct w:val="true"/>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Associates of Applied Science (AAS)</w:t>
            </w:r>
            <w:sdt>
              <w:sdtPr>
                <w:id w:val="272673589"/>
                <w:placeholder>
                  <w:docPart w:val="E69595A965924BC3BB1826F19B6992FF"/>
                </w:placeholder>
                <w:showingPlcHdr/>
              </w:sdtPr>
              <w:sdtContent>
                <w:r>
                  <w:rPr>
                    <w:rFonts w:eastAsia="Times New Roman" w:cs="Times New Roman" w:ascii="Times New Roman" w:hAnsi="Times New Roman"/>
                  </w:rPr>
                </w:r>
                <w:r>
                  <w:rPr>
                    <w:rFonts w:eastAsia="Times New Roman" w:cs="Times New Roman" w:ascii="Times New Roman" w:hAnsi="Times New Roman"/>
                  </w:rPr>
                </w:r>
              </w:sdtContent>
            </w:sdt>
          </w:p>
        </w:tc>
      </w:tr>
      <w:tr>
        <w:trPr>
          <w:trHeight w:val="432" w:hRule="atLeast"/>
        </w:trPr>
        <w:tc>
          <w:tcPr>
            <w:tcW w:w="3814" w:type="dxa"/>
            <w:tcBorders>
              <w:top w:val="single" w:sz="8" w:space="0" w:color="000000"/>
              <w:start w:val="single" w:sz="6" w:space="0" w:color="000000"/>
              <w:bottom w:val="single" w:sz="8" w:space="0" w:color="000000"/>
              <w:end w:val="single" w:sz="8" w:space="0" w:color="000000"/>
            </w:tcBorders>
            <w:vAlign w:val="center"/>
          </w:tcPr>
          <w:p>
            <w:pPr>
              <w:pStyle w:val="Normal"/>
              <w:overflowPunct w:val="true"/>
              <w:spacing w:lineRule="exact" w:line="251"/>
              <w:rPr>
                <w:rFonts w:ascii="Times New Roman" w:hAnsi="Times New Roman" w:eastAsia="Times New Roman" w:cs="Times New Roman"/>
                <w:b/>
              </w:rPr>
            </w:pPr>
            <w:r>
              <w:rPr>
                <w:rFonts w:eastAsia="Times New Roman" w:cs="Times New Roman" w:ascii="Times New Roman" w:hAnsi="Times New Roman"/>
                <w:b/>
                <w:spacing w:val="-1"/>
              </w:rPr>
              <w:t xml:space="preserve"> </w:t>
            </w:r>
            <w:r>
              <w:rPr>
                <w:rFonts w:eastAsia="Times New Roman" w:cs="Times New Roman" w:ascii="Times New Roman" w:hAnsi="Times New Roman"/>
                <w:b/>
                <w:spacing w:val="-1"/>
              </w:rPr>
              <w:t>Degree</w:t>
            </w:r>
            <w:r>
              <w:rPr>
                <w:rFonts w:eastAsia="Times New Roman" w:cs="Times New Roman" w:ascii="Times New Roman" w:hAnsi="Times New Roman"/>
                <w:b/>
                <w:spacing w:val="-25"/>
              </w:rPr>
              <w:t xml:space="preserve"> </w:t>
            </w:r>
            <w:r>
              <w:rPr>
                <w:rFonts w:eastAsia="Times New Roman" w:cs="Times New Roman" w:ascii="Times New Roman" w:hAnsi="Times New Roman"/>
                <w:b/>
              </w:rPr>
              <w:t>Abbreviation</w:t>
            </w:r>
          </w:p>
        </w:tc>
        <w:tc>
          <w:tcPr>
            <w:tcW w:w="5530" w:type="dxa"/>
            <w:tcBorders>
              <w:top w:val="single" w:sz="8" w:space="0" w:color="000000"/>
              <w:start w:val="single" w:sz="8" w:space="0" w:color="000000"/>
              <w:bottom w:val="single" w:sz="8" w:space="0" w:color="000000"/>
              <w:end w:val="single" w:sz="6" w:space="0" w:color="000000"/>
            </w:tcBorders>
            <w:vAlign w:val="center"/>
          </w:tcPr>
          <w:p>
            <w:pPr>
              <w:pStyle w:val="Normal"/>
              <w:overflowPunct w:val="true"/>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G</w:t>
            </w:r>
            <w:r>
              <w:rPr>
                <w:rFonts w:eastAsia="Times New Roman" w:cs="Times New Roman" w:ascii="Times New Roman" w:hAnsi="Times New Roman"/>
              </w:rPr>
              <w:t>AME (internal) GRID (external)</w:t>
            </w:r>
            <w:sdt>
              <w:sdtPr>
                <w:id w:val="1676147849"/>
                <w:placeholder>
                  <w:docPart w:val="7CEC7DE81A504CAB8C3C58528986FD8E"/>
                </w:placeholder>
              </w:sdtPr>
              <w:sdtContent>
                <w:r>
                  <w:rPr>
                    <w:rFonts w:eastAsia="Times New Roman" w:cs="Times New Roman" w:ascii="Times New Roman" w:hAnsi="Times New Roman"/>
                  </w:rPr>
                </w:r>
                <w:r>
                  <w:rPr>
                    <w:rFonts w:eastAsia="Times New Roman" w:cs="Times New Roman" w:ascii="Times New Roman" w:hAnsi="Times New Roman"/>
                  </w:rPr>
                </w:r>
              </w:sdtContent>
            </w:sdt>
            <w:bookmarkStart w:id="0" w:name="_GoBack"/>
            <w:bookmarkEnd w:id="0"/>
          </w:p>
        </w:tc>
      </w:tr>
    </w:tbl>
    <w:p>
      <w:pPr>
        <w:pStyle w:val="Normal"/>
        <w:rPr>
          <w:rFonts w:cs="Calibri" w:cstheme="minorHAnsi"/>
        </w:rPr>
      </w:pPr>
      <w:r>
        <w:rPr>
          <w:rFonts w:cs="Calibri" w:cstheme="minorHAnsi"/>
        </w:rPr>
      </w:r>
    </w:p>
    <w:p>
      <w:pPr>
        <w:pStyle w:val="Normal"/>
        <w:rPr>
          <w:rFonts w:ascii="Times New Roman" w:hAnsi="Times New Roman" w:cs="Times New Roman"/>
          <w:b/>
        </w:rPr>
      </w:pPr>
      <w:r>
        <w:rPr>
          <w:rFonts w:cs="Times New Roman" w:ascii="Times New Roman" w:hAnsi="Times New Roman"/>
          <w:b/>
        </w:rPr>
        <w:t>Introduction:</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val="false"/>
          <w:bCs w:val="false"/>
          <w:i w:val="false"/>
          <w:iCs w:val="false"/>
        </w:rPr>
        <w:t xml:space="preserve">The new </w:t>
      </w:r>
      <w:r>
        <w:rPr>
          <w:rFonts w:cs="Times New Roman" w:ascii="Times New Roman" w:hAnsi="Times New Roman"/>
          <w:b/>
          <w:bCs/>
          <w:i w:val="false"/>
          <w:iCs w:val="false"/>
        </w:rPr>
        <w:t>Game and Real-time Interactive Design Program</w:t>
      </w:r>
      <w:r>
        <w:rPr>
          <w:rFonts w:cs="Times New Roman" w:ascii="Times New Roman" w:hAnsi="Times New Roman"/>
          <w:b w:val="false"/>
          <w:bCs w:val="false"/>
        </w:rPr>
        <w:t xml:space="preserve"> </w:t>
      </w:r>
      <w:r>
        <w:rPr>
          <w:rFonts w:cs="Times New Roman" w:ascii="Times New Roman" w:hAnsi="Times New Roman"/>
          <w:b w:val="false"/>
          <w:bCs w:val="false"/>
        </w:rPr>
        <w:t xml:space="preserve">(“GRID”) </w:t>
      </w:r>
      <w:r>
        <w:rPr>
          <w:rFonts w:cs="Times New Roman" w:ascii="Times New Roman" w:hAnsi="Times New Roman"/>
        </w:rPr>
        <w:t xml:space="preserve">strategically aligns with RVCC's Mission and Strategic Plan by addressing critical needs in </w:t>
      </w:r>
      <w:r>
        <w:rPr>
          <w:rFonts w:cs="Times New Roman" w:ascii="Times New Roman" w:hAnsi="Times New Roman"/>
          <w:i/>
          <w:iCs/>
        </w:rPr>
        <w:t>STE</w:t>
      </w:r>
      <w:r>
        <w:rPr>
          <w:rFonts w:cs="Times New Roman" w:ascii="Times New Roman" w:hAnsi="Times New Roman"/>
          <w:i/>
          <w:iCs/>
          <w:u w:val="single"/>
        </w:rPr>
        <w:t>A</w:t>
      </w:r>
      <w:r>
        <w:rPr>
          <w:rFonts w:cs="Times New Roman" w:ascii="Times New Roman" w:hAnsi="Times New Roman"/>
          <w:i/>
          <w:iCs/>
        </w:rPr>
        <w:t>M</w:t>
      </w:r>
      <w:r>
        <w:rPr>
          <w:rFonts w:cs="Times New Roman" w:ascii="Times New Roman" w:hAnsi="Times New Roman"/>
        </w:rPr>
        <w:t xml:space="preserve"> education, innovation, and community engagement. Combining three prior programs (Game Development, Interface Design &amp; Web Development, and Game Art) the program cultivates a workforce-ready talent pool for the rapidly growing interactive media industry in New Jersey, fostering entrepreneurial opportunities and contributing to regional economic development while directly supporting the institution’s commitment to student success.</w:t>
      </w:r>
    </w:p>
    <w:p>
      <w:pPr>
        <w:pStyle w:val="Normal"/>
        <w:rPr>
          <w:rFonts w:ascii="Times New Roman" w:hAnsi="Times New Roman" w:cs="Times New Roman"/>
          <w:b/>
        </w:rPr>
      </w:pPr>
      <w:r>
        <w:rPr>
          <w:rFonts w:cs="Times New Roman" w:ascii="Times New Roman" w:hAnsi="Times New Roman"/>
          <w:b/>
        </w:rPr>
      </w:r>
    </w:p>
    <w:p>
      <w:pPr>
        <w:pStyle w:val="Normal"/>
        <w:rPr>
          <w:rFonts w:ascii="Times New Roman" w:hAnsi="Times New Roman" w:cs="Times New Roman"/>
          <w:b/>
        </w:rPr>
      </w:pPr>
      <w:r>
        <w:rPr>
          <w:rFonts w:cs="Times New Roman" w:ascii="Times New Roman" w:hAnsi="Times New Roman"/>
          <w:b/>
        </w:rPr>
        <w:t>Overview of proposed new academic degree program:</w:t>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r>
    </w:p>
    <w:p>
      <w:pPr>
        <w:pStyle w:val="NoSpacing"/>
        <w:rPr>
          <w:rFonts w:ascii="Times New Roman" w:hAnsi="Times New Roman" w:cs="Times New Roman"/>
          <w:b w:val="false"/>
          <w:bCs w:val="false"/>
          <w:i w:val="false"/>
          <w:iCs w:val="false"/>
          <w:sz w:val="24"/>
          <w:szCs w:val="24"/>
          <w:u w:val="none"/>
        </w:rPr>
      </w:pPr>
      <w:r>
        <w:rPr>
          <w:rFonts w:cs="Times New Roman" w:ascii="Times New Roman" w:hAnsi="Times New Roman"/>
          <w:b w:val="false"/>
          <w:bCs w:val="false"/>
          <w:i w:val="false"/>
          <w:iCs w:val="false"/>
          <w:sz w:val="24"/>
          <w:szCs w:val="24"/>
          <w:u w:val="none"/>
        </w:rPr>
        <w:t>The transition to the GRID program is the result of a comprehensive strategic redesign of three previously distinct programs: Game Design, Game Art, and Interface Design &amp; Web Development. As the interactive media landscape evolves, the boundaries between these disciplines are increasingly blurred; modern industry workflows require a high degree of convergence between technical programming, aesthetic artistry, and user experience design. Current student feedback polling and industry needs indicate a strong desire to engage with learning skills across these three domains. However, under the previous separate program structure, existing credit limits and rigid curricular boundaries prevented students from pursuing this interdisciplinary breadth. By consolidating these programs into GRID, we eliminate these structural barriers, allowing for a unified curriculum that mirrors industry convergence and provides students the academic flexibility to cultivate a truly multifaceted skill set.</w:t>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t>Sufficient academic quality</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NoSpacing"/>
        <w:rPr>
          <w:rFonts w:ascii="Times New Roman" w:hAnsi="Times New Roman" w:cs="Times New Roman"/>
          <w:sz w:val="24"/>
          <w:szCs w:val="24"/>
        </w:rPr>
      </w:pPr>
      <w:r>
        <w:rPr>
          <w:rFonts w:cs="Times New Roman" w:ascii="Times New Roman" w:hAnsi="Times New Roman"/>
          <w:sz w:val="24"/>
          <w:szCs w:val="24"/>
        </w:rPr>
        <w:t xml:space="preserve">GRID leverages existing institutional strengths in Arts &amp; Design and will be supported by dedicated labs and industry-standard software. </w:t>
      </w:r>
      <w:r>
        <w:rPr>
          <w:rFonts w:cs="Times New Roman" w:ascii="Times New Roman" w:hAnsi="Times New Roman"/>
          <w:b/>
          <w:bCs/>
          <w:sz w:val="24"/>
          <w:szCs w:val="24"/>
        </w:rPr>
        <w:t>The Program Learning Objectives</w:t>
      </w:r>
      <w:r>
        <w:rPr>
          <w:rFonts w:cs="Times New Roman" w:ascii="Times New Roman" w:hAnsi="Times New Roman"/>
          <w:sz w:val="24"/>
          <w:szCs w:val="24"/>
        </w:rPr>
        <w:t xml:space="preserve"> (below) focus on interactive experience design, technical proficiency, problem-solving, and collaborative teamwork, assessed through varied methods:</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NoSpacing"/>
        <w:rPr>
          <w:rFonts w:ascii="Times New Roman" w:hAnsi="Times New Roman" w:cs="Times New Roman"/>
          <w:sz w:val="24"/>
          <w:szCs w:val="24"/>
        </w:rPr>
      </w:pPr>
      <w:r>
        <w:rPr>
          <w:rFonts w:cs="Times New Roman" w:ascii="Times New Roman" w:hAnsi="Times New Roman"/>
          <w:i/>
          <w:iCs/>
          <w:sz w:val="24"/>
          <w:szCs w:val="24"/>
        </w:rPr>
        <w:t xml:space="preserve">1. </w:t>
      </w:r>
      <w:r>
        <w:rPr>
          <w:rFonts w:cs="Times New Roman" w:ascii="Times New Roman" w:hAnsi="Times New Roman"/>
          <w:b/>
          <w:bCs/>
          <w:i/>
          <w:iCs/>
          <w:sz w:val="24"/>
          <w:szCs w:val="24"/>
        </w:rPr>
        <w:t>Interactive Experience Design:</w:t>
      </w:r>
      <w:r>
        <w:rPr>
          <w:rFonts w:cs="Times New Roman" w:ascii="Times New Roman" w:hAnsi="Times New Roman"/>
          <w:b/>
          <w:bCs/>
          <w:sz w:val="24"/>
          <w:szCs w:val="24"/>
        </w:rPr>
        <w:t xml:space="preserve"> </w:t>
      </w:r>
      <w:r>
        <w:rPr>
          <w:rFonts w:cs="Times New Roman" w:ascii="Times New Roman" w:hAnsi="Times New Roman"/>
          <w:sz w:val="24"/>
          <w:szCs w:val="24"/>
        </w:rPr>
        <w:t>Graduates will demonstrate the ability to design and develop interactive digital experiences, including games, web applications, and multimedia projects, using fundamental programming and design principles.</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NoSpacing"/>
        <w:rPr>
          <w:rFonts w:ascii="Times New Roman" w:hAnsi="Times New Roman" w:cs="Times New Roman"/>
          <w:sz w:val="24"/>
          <w:szCs w:val="24"/>
        </w:rPr>
      </w:pPr>
      <w:r>
        <w:rPr>
          <w:rFonts w:cs="Times New Roman" w:ascii="Times New Roman" w:hAnsi="Times New Roman"/>
          <w:i/>
          <w:iCs/>
          <w:sz w:val="24"/>
          <w:szCs w:val="24"/>
        </w:rPr>
        <w:t xml:space="preserve">2. </w:t>
      </w:r>
      <w:r>
        <w:rPr>
          <w:rFonts w:cs="Times New Roman" w:ascii="Times New Roman" w:hAnsi="Times New Roman"/>
          <w:b/>
          <w:bCs/>
          <w:i/>
          <w:iCs/>
          <w:sz w:val="24"/>
          <w:szCs w:val="24"/>
        </w:rPr>
        <w:t>Industry Tool Proficiency:</w:t>
      </w:r>
      <w:r>
        <w:rPr>
          <w:rFonts w:cs="Times New Roman" w:ascii="Times New Roman" w:hAnsi="Times New Roman"/>
          <w:i/>
          <w:iCs/>
          <w:sz w:val="24"/>
          <w:szCs w:val="24"/>
        </w:rPr>
        <w:t xml:space="preserve"> </w:t>
      </w:r>
      <w:r>
        <w:rPr>
          <w:rFonts w:cs="Times New Roman" w:ascii="Times New Roman" w:hAnsi="Times New Roman"/>
          <w:sz w:val="24"/>
          <w:szCs w:val="24"/>
        </w:rPr>
        <w:t>Graduates will effectively utilize industry-standard tools and technologies (such as Unity, Adobe Creative Cloud, and the growing number of Open Source alternatives) for creative computing, game development, interactive art, and rich media production.</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NoSpacing"/>
        <w:rPr>
          <w:rFonts w:ascii="Times New Roman" w:hAnsi="Times New Roman" w:cs="Times New Roman"/>
          <w:sz w:val="24"/>
          <w:szCs w:val="24"/>
        </w:rPr>
      </w:pPr>
      <w:r>
        <w:rPr>
          <w:rFonts w:cs="Times New Roman" w:ascii="Times New Roman" w:hAnsi="Times New Roman"/>
          <w:i/>
          <w:iCs/>
          <w:sz w:val="24"/>
          <w:szCs w:val="24"/>
        </w:rPr>
        <w:t xml:space="preserve">3. </w:t>
      </w:r>
      <w:r>
        <w:rPr>
          <w:rFonts w:cs="Times New Roman" w:ascii="Times New Roman" w:hAnsi="Times New Roman"/>
          <w:b/>
          <w:bCs/>
          <w:i/>
          <w:iCs/>
          <w:sz w:val="24"/>
          <w:szCs w:val="24"/>
        </w:rPr>
        <w:t xml:space="preserve">Problem-Solving &amp; Critical Thinking: </w:t>
      </w:r>
      <w:r>
        <w:rPr>
          <w:rFonts w:cs="Times New Roman" w:ascii="Times New Roman" w:hAnsi="Times New Roman"/>
          <w:sz w:val="24"/>
          <w:szCs w:val="24"/>
        </w:rPr>
        <w:t>Graduates will apply critical thinking and problem-solving skills to address technical and design challenges within interactive media, encompassing user experience and systems implementation.</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NoSpacing"/>
        <w:rPr>
          <w:rFonts w:ascii="Times New Roman" w:hAnsi="Times New Roman" w:cs="Times New Roman"/>
          <w:sz w:val="24"/>
          <w:szCs w:val="24"/>
        </w:rPr>
      </w:pPr>
      <w:r>
        <w:rPr>
          <w:rFonts w:cs="Times New Roman" w:ascii="Times New Roman" w:hAnsi="Times New Roman"/>
          <w:i/>
          <w:iCs/>
          <w:sz w:val="24"/>
          <w:szCs w:val="24"/>
        </w:rPr>
        <w:t xml:space="preserve">4. </w:t>
      </w:r>
      <w:r>
        <w:rPr>
          <w:rFonts w:cs="Times New Roman" w:ascii="Times New Roman" w:hAnsi="Times New Roman"/>
          <w:b/>
          <w:bCs/>
          <w:i/>
          <w:iCs/>
          <w:sz w:val="24"/>
          <w:szCs w:val="24"/>
        </w:rPr>
        <w:t>Collaborative Teamwork:</w:t>
      </w:r>
      <w:r>
        <w:rPr>
          <w:rFonts w:cs="Times New Roman" w:ascii="Times New Roman" w:hAnsi="Times New Roman"/>
          <w:i/>
          <w:iCs/>
          <w:sz w:val="24"/>
          <w:szCs w:val="24"/>
        </w:rPr>
        <w:t xml:space="preserve"> </w:t>
      </w:r>
      <w:r>
        <w:rPr>
          <w:rFonts w:cs="Times New Roman" w:ascii="Times New Roman" w:hAnsi="Times New Roman"/>
          <w:sz w:val="24"/>
          <w:szCs w:val="24"/>
        </w:rPr>
        <w:t>Graduates will collaborate effectively within multidisciplinary teams to produce polished, portfolio-ready projects, demonstrating technical and artistic proficiency.</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NoSpacing"/>
        <w:rPr>
          <w:rFonts w:ascii="Times New Roman" w:hAnsi="Times New Roman" w:cs="Times New Roman"/>
          <w:sz w:val="24"/>
          <w:szCs w:val="24"/>
        </w:rPr>
      </w:pPr>
      <w:r>
        <w:rPr>
          <w:rFonts w:cs="Times New Roman" w:ascii="Times New Roman" w:hAnsi="Times New Roman"/>
          <w:sz w:val="24"/>
          <w:szCs w:val="24"/>
        </w:rPr>
        <w:t>The curriculum also features a unique series of three 1-credit “mentoring touchstone” classes designed to reduce barriers to achievement and are taken at crucial milestones during their course of study:</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NoSpacing"/>
        <w:numPr>
          <w:ilvl w:val="0"/>
          <w:numId w:val="2"/>
        </w:numPr>
        <w:rPr>
          <w:rFonts w:ascii="Times New Roman" w:hAnsi="Times New Roman" w:cs="Times New Roman"/>
          <w:sz w:val="24"/>
          <w:szCs w:val="24"/>
        </w:rPr>
      </w:pPr>
      <w:r>
        <w:rPr>
          <w:rFonts w:cs="Times New Roman" w:ascii="Times New Roman" w:hAnsi="Times New Roman"/>
          <w:b/>
          <w:bCs/>
          <w:sz w:val="24"/>
          <w:szCs w:val="24"/>
        </w:rPr>
        <w:t>GRID 105 - Introduction to GRID:</w:t>
      </w:r>
      <w:r>
        <w:rPr>
          <w:rFonts w:cs="Times New Roman" w:ascii="Times New Roman" w:hAnsi="Times New Roman"/>
          <w:sz w:val="24"/>
          <w:szCs w:val="24"/>
        </w:rPr>
        <w:t xml:space="preserve"> Establishes foundational industry knowledge and faculty-led academic planning and is taken in the first semester.</w:t>
      </w:r>
    </w:p>
    <w:p>
      <w:pPr>
        <w:pStyle w:val="NoSpacing"/>
        <w:numPr>
          <w:ilvl w:val="0"/>
          <w:numId w:val="2"/>
        </w:numPr>
        <w:rPr>
          <w:rFonts w:ascii="Times New Roman" w:hAnsi="Times New Roman" w:cs="Times New Roman"/>
          <w:sz w:val="24"/>
          <w:szCs w:val="24"/>
        </w:rPr>
      </w:pPr>
      <w:r>
        <w:rPr>
          <w:rFonts w:cs="Times New Roman" w:ascii="Times New Roman" w:hAnsi="Times New Roman"/>
          <w:b/>
          <w:bCs/>
          <w:sz w:val="24"/>
          <w:szCs w:val="24"/>
        </w:rPr>
        <w:t xml:space="preserve">GRID 210 - Current Issues in GRID: </w:t>
      </w:r>
      <w:r>
        <w:rPr>
          <w:rFonts w:cs="Times New Roman" w:ascii="Times New Roman" w:hAnsi="Times New Roman"/>
          <w:sz w:val="24"/>
          <w:szCs w:val="24"/>
        </w:rPr>
        <w:t>Develops critical analysis of emerging technologies and ethical standards, which is taken in the final semester along with:</w:t>
      </w:r>
    </w:p>
    <w:p>
      <w:pPr>
        <w:pStyle w:val="NoSpacing"/>
        <w:numPr>
          <w:ilvl w:val="0"/>
          <w:numId w:val="2"/>
        </w:numPr>
        <w:rPr>
          <w:rFonts w:ascii="Times New Roman" w:hAnsi="Times New Roman" w:cs="Times New Roman"/>
          <w:sz w:val="24"/>
          <w:szCs w:val="24"/>
        </w:rPr>
      </w:pPr>
      <w:r>
        <w:rPr>
          <w:rFonts w:cs="Times New Roman" w:ascii="Times New Roman" w:hAnsi="Times New Roman"/>
          <w:b/>
          <w:bCs/>
          <w:sz w:val="24"/>
          <w:szCs w:val="24"/>
        </w:rPr>
        <w:t>GRID 299 - Digital Portfolio:</w:t>
      </w:r>
      <w:r>
        <w:rPr>
          <w:rFonts w:cs="Times New Roman" w:ascii="Times New Roman" w:hAnsi="Times New Roman"/>
          <w:sz w:val="24"/>
          <w:szCs w:val="24"/>
        </w:rPr>
        <w:t xml:space="preserve"> which facilitates professional readiness through the curation of industry-standard digital assets.</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NoSpacing"/>
        <w:rPr>
          <w:rFonts w:ascii="Times New Roman" w:hAnsi="Times New Roman" w:cs="Times New Roman"/>
          <w:sz w:val="24"/>
          <w:szCs w:val="24"/>
        </w:rPr>
      </w:pPr>
      <w:r>
        <w:rPr>
          <w:rFonts w:cs="Times New Roman" w:ascii="Times New Roman" w:hAnsi="Times New Roman"/>
          <w:sz w:val="24"/>
          <w:szCs w:val="24"/>
        </w:rPr>
        <w:t>Furthermore, the program will be supported by three full-time faculty who each specialize in the domains of game design, software engineering, digital artistry, and user experience design, with classes taught in two fully outfitted labs in the southern part of the Arts Building. GRID Lab 1 sports a Motion Capture suite and extensive gaming library of physical board, card, and paper games, as well as digital gaming consoles and VR headsets; where GRID Lab 2 sports a dual-projector classroom designed to teach coding, and a User Experience development and testing workspace. Both labs have industry standard software for developing graphic and motion assets (Adobe and related packages) as well as game design programming and development software such as Unity, alongside Open Source alternatives.</w:t>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t>Sufficient evidence of labor market demand for the program</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NoSpacing"/>
        <w:rPr>
          <w:rFonts w:ascii="Times New Roman" w:hAnsi="Times New Roman" w:cs="Times New Roman"/>
          <w:sz w:val="24"/>
          <w:szCs w:val="24"/>
        </w:rPr>
      </w:pPr>
      <w:r>
        <w:rPr>
          <w:rFonts w:cs="Times New Roman" w:ascii="Times New Roman" w:hAnsi="Times New Roman"/>
          <w:sz w:val="24"/>
          <w:szCs w:val="24"/>
        </w:rPr>
        <w:t>GRID demonstrates sufficient labor market demand through alignment with multiple occupations listed in the Standard Occupational Classification (SOC) system (</w:t>
      </w:r>
      <w:r>
        <w:rPr>
          <w:rFonts w:cs="Times New Roman" w:ascii="Times New Roman" w:hAnsi="Times New Roman"/>
          <w:sz w:val="24"/>
          <w:szCs w:val="24"/>
          <w:u w:val="single"/>
        </w:rPr>
        <w:t>https://www.bls.gov/soc/</w:t>
      </w:r>
      <w:r>
        <w:rPr>
          <w:rFonts w:cs="Times New Roman" w:ascii="Times New Roman" w:hAnsi="Times New Roman"/>
          <w:sz w:val="24"/>
          <w:szCs w:val="24"/>
        </w:rPr>
        <w:t xml:space="preserve">), including Software Developers, Web Developers, Web and Digital Interface Designers, Special Effects Artists and Animators, and Designers, All Others. </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NoSpacing"/>
        <w:rPr>
          <w:rFonts w:ascii="Times New Roman" w:hAnsi="Times New Roman" w:cs="Times New Roman"/>
          <w:sz w:val="24"/>
          <w:szCs w:val="24"/>
        </w:rPr>
      </w:pPr>
      <w:r>
        <w:rPr>
          <w:rFonts w:cs="Times New Roman" w:ascii="Times New Roman" w:hAnsi="Times New Roman"/>
          <w:sz w:val="24"/>
          <w:szCs w:val="24"/>
        </w:rPr>
        <w:t>Projections from the New Jersey Department of Labor and Workforce Development indicate substantial growth in these fields, with several experiencing increases of over 10% between 2022 and 2032, signifying a strong and growing need for graduates with the skills and knowledge provided by GRID:</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NoSpacing"/>
        <w:numPr>
          <w:ilvl w:val="0"/>
          <w:numId w:val="1"/>
        </w:numPr>
        <w:rPr>
          <w:rFonts w:ascii="Times New Roman" w:hAnsi="Times New Roman" w:cs="Times New Roman"/>
          <w:sz w:val="24"/>
          <w:szCs w:val="24"/>
        </w:rPr>
      </w:pPr>
      <w:r>
        <w:rPr>
          <w:rFonts w:cs="Times New Roman" w:ascii="Times New Roman" w:hAnsi="Times New Roman"/>
          <w:sz w:val="24"/>
          <w:szCs w:val="24"/>
        </w:rPr>
        <w:t>15-1252 (Software Developers) — +19.2% or ±10,400</w:t>
      </w:r>
    </w:p>
    <w:p>
      <w:pPr>
        <w:pStyle w:val="NoSpacing"/>
        <w:numPr>
          <w:ilvl w:val="0"/>
          <w:numId w:val="1"/>
        </w:numPr>
        <w:rPr>
          <w:rFonts w:ascii="Times New Roman" w:hAnsi="Times New Roman" w:cs="Times New Roman"/>
          <w:sz w:val="24"/>
          <w:szCs w:val="24"/>
        </w:rPr>
      </w:pPr>
      <w:r>
        <w:rPr>
          <w:rFonts w:cs="Times New Roman" w:ascii="Times New Roman" w:hAnsi="Times New Roman"/>
          <w:sz w:val="24"/>
          <w:szCs w:val="24"/>
        </w:rPr>
        <w:t>15-1254 (Web Developers) — +13.5% or ±300</w:t>
      </w:r>
    </w:p>
    <w:p>
      <w:pPr>
        <w:pStyle w:val="NoSpacing"/>
        <w:numPr>
          <w:ilvl w:val="0"/>
          <w:numId w:val="1"/>
        </w:numPr>
        <w:rPr>
          <w:rFonts w:ascii="Times New Roman" w:hAnsi="Times New Roman" w:cs="Times New Roman"/>
          <w:sz w:val="24"/>
          <w:szCs w:val="24"/>
        </w:rPr>
      </w:pPr>
      <w:r>
        <w:rPr>
          <w:rFonts w:cs="Times New Roman" w:ascii="Times New Roman" w:hAnsi="Times New Roman"/>
          <w:sz w:val="24"/>
          <w:szCs w:val="24"/>
        </w:rPr>
        <w:t>15-1255 (Web and Digital Interface Designers) — +11.2% or ±300</w:t>
      </w:r>
    </w:p>
    <w:p>
      <w:pPr>
        <w:pStyle w:val="NoSpacing"/>
        <w:numPr>
          <w:ilvl w:val="0"/>
          <w:numId w:val="1"/>
        </w:numPr>
        <w:rPr>
          <w:rFonts w:ascii="Times New Roman" w:hAnsi="Times New Roman" w:cs="Times New Roman"/>
          <w:sz w:val="24"/>
          <w:szCs w:val="24"/>
        </w:rPr>
      </w:pPr>
      <w:r>
        <w:rPr>
          <w:rFonts w:cs="Times New Roman" w:ascii="Times New Roman" w:hAnsi="Times New Roman"/>
          <w:sz w:val="24"/>
          <w:szCs w:val="24"/>
        </w:rPr>
        <w:t>27-1014 (Special Effects Artists and Animators) — +0.4% or ±10</w:t>
      </w:r>
    </w:p>
    <w:p>
      <w:pPr>
        <w:pStyle w:val="NoSpacing"/>
        <w:numPr>
          <w:ilvl w:val="0"/>
          <w:numId w:val="1"/>
        </w:numPr>
        <w:rPr>
          <w:rFonts w:ascii="Times New Roman" w:hAnsi="Times New Roman" w:cs="Times New Roman"/>
          <w:sz w:val="24"/>
          <w:szCs w:val="24"/>
        </w:rPr>
      </w:pPr>
      <w:r>
        <w:rPr>
          <w:rFonts w:cs="Times New Roman" w:ascii="Times New Roman" w:hAnsi="Times New Roman"/>
          <w:sz w:val="24"/>
          <w:szCs w:val="24"/>
        </w:rPr>
        <w:t>27-1029 (Designers, All Others) — +1.3% or ±10</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NoSpacing"/>
        <w:rPr>
          <w:rFonts w:ascii="Times New Roman" w:hAnsi="Times New Roman" w:cs="Times New Roman"/>
          <w:sz w:val="24"/>
          <w:szCs w:val="24"/>
        </w:rPr>
      </w:pPr>
      <w:r>
        <w:rPr>
          <w:rFonts w:cs="Times New Roman" w:ascii="Times New Roman" w:hAnsi="Times New Roman"/>
          <w:sz w:val="24"/>
          <w:szCs w:val="24"/>
        </w:rPr>
        <w:t>(</w:t>
      </w:r>
      <w:hyperlink r:id="rId2">
        <w:r>
          <w:rPr>
            <w:rStyle w:val="Hyperlink"/>
            <w:rFonts w:cs="Times New Roman" w:ascii="Times New Roman" w:hAnsi="Times New Roman"/>
            <w:sz w:val="24"/>
            <w:szCs w:val="24"/>
          </w:rPr>
          <w:t>https://www.nj.gov/labor/labormarketinformation/employment-wages/industry-occupational-projections/index.shtml</w:t>
        </w:r>
      </w:hyperlink>
      <w:r>
        <w:rPr>
          <w:rFonts w:cs="Times New Roman" w:ascii="Times New Roman" w:hAnsi="Times New Roman"/>
          <w:sz w:val="24"/>
          <w:szCs w:val="24"/>
        </w:rPr>
        <w:t>)</w:t>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t>Duplication with comparable programs of study in the State</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NoSpacing"/>
        <w:rPr>
          <w:rFonts w:ascii="Times New Roman" w:hAnsi="Times New Roman" w:cs="Times New Roman"/>
          <w:sz w:val="24"/>
          <w:szCs w:val="24"/>
        </w:rPr>
      </w:pPr>
      <w:r>
        <w:rPr>
          <w:rFonts w:cs="Times New Roman" w:ascii="Times New Roman" w:hAnsi="Times New Roman"/>
          <w:sz w:val="24"/>
          <w:szCs w:val="24"/>
        </w:rPr>
        <w:t xml:space="preserve">While New Jersey offers specialized programs in isolated disciplines such as Web Design or Game Design, there is a notable </w:t>
      </w:r>
      <w:r>
        <w:rPr>
          <w:rFonts w:cs="Times New Roman" w:ascii="Times New Roman" w:hAnsi="Times New Roman"/>
          <w:i/>
          <w:iCs/>
          <w:sz w:val="24"/>
          <w:szCs w:val="24"/>
        </w:rPr>
        <w:t>absence</w:t>
      </w:r>
      <w:r>
        <w:rPr>
          <w:rFonts w:cs="Times New Roman" w:ascii="Times New Roman" w:hAnsi="Times New Roman"/>
          <w:sz w:val="24"/>
          <w:szCs w:val="24"/>
        </w:rPr>
        <w:t xml:space="preserve"> of a unified, multidisciplinary curriculum. GRID fills this critical gap by providing a convergent approach that integrates technical programming, aesthetic design, and interactive user experience — a holistic training model that mirrors the actual workflow of the modern interactive media industry.</w:t>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t>Requirement of significant additional State resources</w:t>
      </w:r>
    </w:p>
    <w:p>
      <w:pPr>
        <w:pStyle w:val="CommentText"/>
        <w:rPr>
          <w:rFonts w:ascii="Times New Roman" w:hAnsi="Times New Roman" w:cs="Times New Roman"/>
          <w:sz w:val="24"/>
          <w:szCs w:val="24"/>
        </w:rPr>
      </w:pPr>
      <w:r>
        <w:rPr>
          <w:rFonts w:cs="Times New Roman" w:ascii="Times New Roman" w:hAnsi="Times New Roman"/>
          <w:sz w:val="24"/>
          <w:szCs w:val="24"/>
        </w:rPr>
      </w:r>
    </w:p>
    <w:p>
      <w:pPr>
        <w:pStyle w:val="CommentText"/>
        <w:spacing w:before="0" w:after="160"/>
        <w:rPr>
          <w:rFonts w:ascii="Times New Roman" w:hAnsi="Times New Roman" w:cs="Times New Roman"/>
          <w:sz w:val="24"/>
          <w:szCs w:val="24"/>
        </w:rPr>
      </w:pPr>
      <w:r>
        <w:rPr>
          <w:rFonts w:cs="Times New Roman" w:ascii="Times New Roman" w:hAnsi="Times New Roman"/>
          <w:sz w:val="24"/>
          <w:szCs w:val="24"/>
        </w:rPr>
        <w:t>Because this program integrates three established programs, it leverages a robust, pre-existing infrastructure. The program is currently supported by three full-time faculty members, two adjunct instructors, two fully equipped computer laboratories, and comprehensive digital systems. Given the projected initial enrollment of 60–70 students and a targeted growth between 115-150 students by year five (roughly based on expected job demand increase and appropriate advertising campaigns) the program is designed to be self-sustaining within its current resource framework, requiring no significant additional State investment to maintain operational excellence.</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Calibri Light">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9"/>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cc4c59"/>
    <w:pPr>
      <w:widowControl/>
      <w:suppressAutoHyphens w:val="true"/>
      <w:bidi w:val="0"/>
      <w:spacing w:lineRule="auto" w:line="240" w:before="0" w:after="0"/>
      <w:jc w:val="start"/>
    </w:pPr>
    <w:rPr>
      <w:rFonts w:ascii="Calibri" w:hAnsi="Calibri" w:eastAsia="Calibri" w:cs="" w:asciiTheme="minorHAnsi" w:cstheme="minorBidi" w:eastAsiaTheme="minorHAnsi" w:hAnsiTheme="minorHAnsi"/>
      <w:color w:val="auto"/>
      <w:kern w:val="0"/>
      <w:sz w:val="24"/>
      <w:szCs w:val="24"/>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393605"/>
    <w:rPr>
      <w:sz w:val="24"/>
      <w:szCs w:val="24"/>
    </w:rPr>
  </w:style>
  <w:style w:type="character" w:styleId="FooterChar" w:customStyle="1">
    <w:name w:val="Footer Char"/>
    <w:basedOn w:val="DefaultParagraphFont"/>
    <w:link w:val="Footer"/>
    <w:uiPriority w:val="99"/>
    <w:qFormat/>
    <w:rsid w:val="00393605"/>
    <w:rPr>
      <w:sz w:val="24"/>
      <w:szCs w:val="24"/>
    </w:rPr>
  </w:style>
  <w:style w:type="character" w:styleId="CommentTextChar" w:customStyle="1">
    <w:name w:val="Comment Text Char"/>
    <w:basedOn w:val="DefaultParagraphFont"/>
    <w:link w:val="CommentText"/>
    <w:uiPriority w:val="99"/>
    <w:semiHidden/>
    <w:qFormat/>
    <w:rsid w:val="00bd13c4"/>
    <w:rPr>
      <w:sz w:val="20"/>
      <w:szCs w:val="20"/>
    </w:rPr>
  </w:style>
  <w:style w:type="character" w:styleId="PlaceholderText">
    <w:name w:val="Placeholder Text"/>
    <w:basedOn w:val="DefaultParagraphFont"/>
    <w:uiPriority w:val="99"/>
    <w:semiHidden/>
    <w:qFormat/>
    <w:rsid w:val="00373386"/>
    <w:rPr>
      <w:color w:val="808080"/>
    </w:rPr>
  </w:style>
  <w:style w:type="character" w:styleId="Strong">
    <w:name w:val="Strong"/>
    <w:qFormat/>
    <w:rPr>
      <w:b/>
      <w:bCs/>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393605"/>
    <w:pPr>
      <w:tabs>
        <w:tab w:val="clear" w:pos="720"/>
        <w:tab w:val="center" w:pos="4680" w:leader="none"/>
        <w:tab w:val="right" w:pos="9360" w:leader="none"/>
      </w:tabs>
    </w:pPr>
    <w:rPr/>
  </w:style>
  <w:style w:type="paragraph" w:styleId="Footer">
    <w:name w:val="footer"/>
    <w:basedOn w:val="Normal"/>
    <w:link w:val="FooterChar"/>
    <w:uiPriority w:val="99"/>
    <w:unhideWhenUsed/>
    <w:rsid w:val="00393605"/>
    <w:pPr>
      <w:tabs>
        <w:tab w:val="clear" w:pos="720"/>
        <w:tab w:val="center" w:pos="4680" w:leader="none"/>
        <w:tab w:val="right" w:pos="9360" w:leader="none"/>
      </w:tabs>
    </w:pPr>
    <w:rPr/>
  </w:style>
  <w:style w:type="paragraph" w:styleId="NoSpacing">
    <w:name w:val="No Spacing"/>
    <w:uiPriority w:val="1"/>
    <w:qFormat/>
    <w:rsid w:val="007422f5"/>
    <w:pPr>
      <w:widowControl/>
      <w:suppressAutoHyphens w:val="true"/>
      <w:bidi w:val="0"/>
      <w:spacing w:lineRule="auto" w:line="240" w:before="0" w:after="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CommentText">
    <w:name w:val="annotation text"/>
    <w:basedOn w:val="Normal"/>
    <w:link w:val="CommentTextChar"/>
    <w:uiPriority w:val="99"/>
    <w:semiHidden/>
    <w:unhideWhenUsed/>
    <w:rsid w:val="00bd13c4"/>
    <w:pPr>
      <w:spacing w:before="0" w:after="160"/>
    </w:pPr>
    <w:rPr>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752684"/>
    <w:pPr>
      <w:spacing w:after="0" w:line="240" w:lineRule="auto"/>
    </w:pPr>
    <w:rPr>
      <w:sz w:val="24"/>
      <w:szCs w:val="24"/>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nj.gov/labor/labormarketinformation/employment-wages/industry-occupational-projections/index.shtml"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glossaryDocument" Target="glossary/document.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8BF32DC88E8D41E5BE4F25FA2CCA1F70"/>
        <w:category>
          <w:name w:val="General"/>
          <w:gallery w:val="placeholder"/>
        </w:category>
        <w:types>
          <w:type w:val="bbPlcHdr"/>
        </w:types>
        <w:behaviors>
          <w:behavior w:val="content"/>
        </w:behaviors>
        <w:guid w:val="{A23EE3A7-1D01-4737-8CC1-4EF99AE50E99}"/>
      </w:docPartPr>
      <w:docPartBody>
        <w:p w:rsidR="00523C7B" w:rsidRDefault="0020409B" w:rsidP="0020409B">
          <w:pPr>
            <w:pStyle w:val="8BF32DC88E8D41E5BE4F25FA2CCA1F70"/>
          </w:pPr>
          <w:r w:rsidRPr="00914A59">
            <w:rPr>
              <w:rStyle w:val="PlaceholderText"/>
            </w:rPr>
            <w:t>Click or tap here to enter text.</w:t>
          </w:r>
        </w:p>
      </w:docPartBody>
    </w:docPart>
    <w:docPart>
      <w:docPartPr>
        <w:name w:val="6B80A5EE51D94C4DB2AA0AFD0A40C936"/>
        <w:category>
          <w:name w:val="General"/>
          <w:gallery w:val="placeholder"/>
        </w:category>
        <w:types>
          <w:type w:val="bbPlcHdr"/>
        </w:types>
        <w:behaviors>
          <w:behavior w:val="content"/>
        </w:behaviors>
        <w:guid w:val="{FB11B3C4-5354-446F-B772-DAE82C5E56D0}"/>
      </w:docPartPr>
      <w:docPartBody>
        <w:p w:rsidR="00523C7B" w:rsidRDefault="0020409B" w:rsidP="0020409B">
          <w:pPr>
            <w:pStyle w:val="6B80A5EE51D94C4DB2AA0AFD0A40C936"/>
          </w:pPr>
          <w:r w:rsidRPr="00914A59">
            <w:rPr>
              <w:rStyle w:val="PlaceholderText"/>
            </w:rPr>
            <w:t>Click or tap here to enter text.</w:t>
          </w:r>
        </w:p>
      </w:docPartBody>
    </w:docPart>
    <w:docPart>
      <w:docPartPr>
        <w:name w:val="E69595A965924BC3BB1826F19B6992FF"/>
        <w:category>
          <w:name w:val="General"/>
          <w:gallery w:val="placeholder"/>
        </w:category>
        <w:types>
          <w:type w:val="bbPlcHdr"/>
        </w:types>
        <w:behaviors>
          <w:behavior w:val="content"/>
        </w:behaviors>
        <w:guid w:val="{D59FE9E7-D008-4D40-89B0-B12C6FB8A5DE}"/>
      </w:docPartPr>
      <w:docPartBody>
        <w:p w:rsidR="00523C7B" w:rsidRDefault="0020409B" w:rsidP="0020409B">
          <w:pPr>
            <w:pStyle w:val="E69595A965924BC3BB1826F19B6992FF"/>
          </w:pPr>
          <w:r w:rsidRPr="00914A59">
            <w:rPr>
              <w:rStyle w:val="PlaceholderText"/>
            </w:rPr>
            <w:t>Click or tap here to enter text.</w:t>
          </w:r>
        </w:p>
      </w:docPartBody>
    </w:docPart>
    <w:docPart>
      <w:docPartPr>
        <w:name w:val="7CEC7DE81A504CAB8C3C58528986FD8E"/>
        <w:category>
          <w:name w:val="General"/>
          <w:gallery w:val="placeholder"/>
        </w:category>
        <w:types>
          <w:type w:val="bbPlcHdr"/>
        </w:types>
        <w:behaviors>
          <w:behavior w:val="content"/>
        </w:behaviors>
        <w:guid w:val="{149287AA-C556-49A7-BA7E-57EDDE7D71D3}"/>
      </w:docPartPr>
      <w:docPartBody>
        <w:p w:rsidR="00523C7B" w:rsidRDefault="0020409B" w:rsidP="0020409B">
          <w:pPr>
            <w:pStyle w:val="7CEC7DE81A504CAB8C3C58528986FD8E"/>
          </w:pPr>
          <w:r w:rsidRPr="00914A5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409B"/>
    <w:rsid w:val="0020409B"/>
    <w:rsid w:val="002F33CA"/>
    <w:rsid w:val="00523C7B"/>
    <w:rsid w:val="00833B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0409B"/>
    <w:rPr>
      <w:color w:val="808080"/>
    </w:rPr>
  </w:style>
  <w:style w:type="paragraph" w:customStyle="1" w:styleId="8BF32DC88E8D41E5BE4F25FA2CCA1F70">
    <w:name w:val="8BF32DC88E8D41E5BE4F25FA2CCA1F70"/>
    <w:rsid w:val="0020409B"/>
  </w:style>
  <w:style w:type="paragraph" w:customStyle="1" w:styleId="6B80A5EE51D94C4DB2AA0AFD0A40C936">
    <w:name w:val="6B80A5EE51D94C4DB2AA0AFD0A40C936"/>
    <w:rsid w:val="0020409B"/>
  </w:style>
  <w:style w:type="paragraph" w:customStyle="1" w:styleId="E69595A965924BC3BB1826F19B6992FF">
    <w:name w:val="E69595A965924BC3BB1826F19B6992FF"/>
    <w:rsid w:val="0020409B"/>
  </w:style>
  <w:style w:type="paragraph" w:customStyle="1" w:styleId="7CEC7DE81A504CAB8C3C58528986FD8E">
    <w:name w:val="7CEC7DE81A504CAB8C3C58528986FD8E"/>
    <w:rsid w:val="0020409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1416</TotalTime>
  <Application>LibreOffice/25.8.6.2$Linux_X86_64 LibreOffice_project/580$Build-2</Application>
  <AppVersion>15.0000</AppVersion>
  <Pages>3</Pages>
  <Words>928</Words>
  <Characters>6028</Characters>
  <CharactersWithSpaces>6928</CharactersWithSpaces>
  <Paragraphs>38</Paragraphs>
  <Company>Rowan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2022-03-01T22:34:00Z</dcterms:created>
  <dc:creator>Harvey, Roberta K</dc:creator>
  <dc:description/>
  <dc:language>en-US</dc:language>
  <cp:lastModifiedBy/>
  <cp:lastPrinted>2026-06-18T11:50:13Z</cp:lastPrinted>
  <dcterms:modified xsi:type="dcterms:W3CDTF">2026-09-18T15:30:13Z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