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להגשה</w:t>
      </w:r>
      <w:r w:rsidDel="00000000" w:rsidR="00000000" w:rsidRPr="00000000">
        <w:rPr>
          <w:sz w:val="24"/>
          <w:szCs w:val="24"/>
          <w:rtl w:val="1"/>
        </w:rPr>
        <w:t xml:space="preserve">: 23/02/2025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פרקים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הארגון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Online Retail Store</w:t>
      </w:r>
    </w:p>
    <w:p w:rsidR="00000000" w:rsidDel="00000000" w:rsidP="00000000" w:rsidRDefault="00000000" w:rsidRPr="00000000" w14:paraId="00000005">
      <w:pPr>
        <w:bidi w:val="1"/>
        <w:spacing w:after="160" w:lineRule="auto"/>
        <w:ind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רקע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06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ארגון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Online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Retail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Store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קמעונאית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ובטוחה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ומשלוח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קמעונאיים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המודרניים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Rule="auto"/>
        <w:ind w:right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הארגון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: </w:t>
      </w:r>
    </w:p>
    <w:p w:rsidR="00000000" w:rsidDel="00000000" w:rsidP="00000000" w:rsidRDefault="00000000" w:rsidRPr="00000000" w14:paraId="00000008">
      <w:pPr>
        <w:bidi w:val="1"/>
        <w:spacing w:after="160" w:lineRule="auto"/>
        <w:ind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גנרי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למכור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spacing w:after="160" w:lineRule="auto"/>
        <w:ind w:righ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קצר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הארגון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קמעונאית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שתומכים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בתפעול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והזמנות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מתעדכנת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תשתית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בצמיחה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והתרחבות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0">
      <w:pPr>
        <w:bidi w:val="1"/>
        <w:spacing w:after="160" w:lineRule="auto"/>
        <w:ind w:righ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מטרות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לקוחות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ומלאי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ותשלומים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ביקורות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ייעול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עסקיים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בצמיחה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8">
      <w:pPr>
        <w:bidi w:val="1"/>
        <w:spacing w:after="160" w:lineRule="auto"/>
        <w:ind w:righ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שחקנים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ותפקידים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CEO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spacing w:after="160" w:lineRule="auto"/>
        <w:ind w:righ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הנחות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יסוד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krsoquqdlje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והזמנות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ppdvoisvbfd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עובדים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וטיפול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בהזמנות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ההזמנה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rdnjcyfbcly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מוצרים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וקטגוריות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awootddwmar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תשלומים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6ytbqbh9o0b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w1qf1zdeumv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ביקורות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רכש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bidi w:val="1"/>
        <w:spacing w:after="40" w:before="240" w:lineRule="auto"/>
        <w:ind w:left="0" w:right="720" w:firstLine="0"/>
        <w:rPr>
          <w:b w:val="1"/>
          <w:color w:val="000000"/>
          <w:sz w:val="22"/>
          <w:szCs w:val="22"/>
        </w:rPr>
      </w:pPr>
      <w:bookmarkStart w:colFirst="0" w:colLast="0" w:name="_y067lujbl7u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מלאי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במלאי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להרחבה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מלאי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left="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lineRule="auto"/>
        <w:ind w:left="720" w:righ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1"/>
        </w:rPr>
        <w:t xml:space="preserve">תרשים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ERD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מנורמל</w:t>
      </w:r>
    </w:p>
    <w:p w:rsidR="00000000" w:rsidDel="00000000" w:rsidP="00000000" w:rsidRDefault="00000000" w:rsidRPr="00000000" w14:paraId="00000030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lineRule="auto"/>
        <w:ind w:left="360" w:righ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114300</wp:posOffset>
            </wp:positionV>
            <wp:extent cx="8024813" cy="5857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813" cy="5857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160" w:lineRule="auto"/>
        <w:ind w:left="360"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