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D1" w:rsidRPr="00D373D1" w:rsidRDefault="00DF6D39" w:rsidP="00D373D1">
      <w:pPr>
        <w:shd w:val="clear" w:color="auto" w:fill="FFFFFF"/>
        <w:spacing w:after="72" w:line="288" w:lineRule="atLeast"/>
        <w:textAlignment w:val="baseline"/>
        <w:outlineLvl w:val="2"/>
        <w:rPr>
          <w:rFonts w:ascii="Segoe UI" w:eastAsia="Times New Roman" w:hAnsi="Segoe UI" w:cs="Segoe UI"/>
          <w:b/>
          <w:i/>
          <w:color w:val="000000"/>
          <w:kern w:val="36"/>
          <w:sz w:val="28"/>
          <w:szCs w:val="28"/>
        </w:rPr>
      </w:pPr>
      <w:r w:rsidRPr="00D45DBE">
        <w:rPr>
          <w:rFonts w:ascii="Segoe UI" w:eastAsia="Times New Roman" w:hAnsi="Segoe UI" w:cs="Segoe UI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B45D32" wp14:editId="566828B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680210" cy="12725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BE" w:rsidRDefault="00D45DBE" w:rsidP="00D45DBE">
                            <w:pPr>
                              <w:shd w:val="clear" w:color="auto" w:fill="FFFFFF"/>
                              <w:spacing w:after="72" w:line="288" w:lineRule="atLeast"/>
                              <w:jc w:val="center"/>
                              <w:textAlignment w:val="baseline"/>
                              <w:outlineLvl w:val="2"/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8"/>
                                <w:szCs w:val="18"/>
                              </w:rPr>
                              <w:t>Covered as of 2 Jan 2012</w:t>
                            </w:r>
                          </w:p>
                          <w:p w:rsidR="00D45DBE" w:rsidRDefault="00D45DBE" w:rsidP="00D45DBE">
                            <w:pPr>
                              <w:shd w:val="clear" w:color="auto" w:fill="FFFFFF"/>
                              <w:spacing w:after="72" w:line="288" w:lineRule="atLeast"/>
                              <w:jc w:val="center"/>
                              <w:textAlignment w:val="baseline"/>
                              <w:outlineLvl w:val="2"/>
                              <w:rPr>
                                <w:rFonts w:ascii="Segoe UI" w:eastAsia="Times New Roman" w:hAnsi="Segoe UI" w:cs="Segoe U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A5950">
                              <w:rPr>
                                <w:rFonts w:ascii="Segoe UI" w:eastAsia="Times New Roman" w:hAnsi="Segoe UI" w:cs="Segoe UI"/>
                                <w:color w:val="FF0000"/>
                                <w:sz w:val="18"/>
                                <w:szCs w:val="18"/>
                              </w:rPr>
                              <w:t>Needs covering</w:t>
                            </w:r>
                          </w:p>
                          <w:p w:rsidR="00D45DBE" w:rsidRPr="009A5950" w:rsidRDefault="00D45DBE" w:rsidP="00D45DBE">
                            <w:pPr>
                              <w:shd w:val="clear" w:color="auto" w:fill="FFFFFF"/>
                              <w:spacing w:after="72" w:line="288" w:lineRule="atLeast"/>
                              <w:jc w:val="center"/>
                              <w:textAlignment w:val="baseline"/>
                              <w:outlineLvl w:val="2"/>
                              <w:rPr>
                                <w:rFonts w:ascii="Segoe UI" w:eastAsia="Times New Roman" w:hAnsi="Segoe UI" w:cs="Segoe UI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9A5950">
                              <w:rPr>
                                <w:rFonts w:ascii="Segoe UI" w:eastAsia="Times New Roman" w:hAnsi="Segoe UI" w:cs="Segoe UI"/>
                                <w:color w:val="5B9BD5" w:themeColor="accent1"/>
                                <w:sz w:val="18"/>
                                <w:szCs w:val="18"/>
                              </w:rPr>
                              <w:t>Covered as of 9 Jan 2012</w:t>
                            </w:r>
                          </w:p>
                          <w:p w:rsidR="00D45DBE" w:rsidRDefault="00D45DBE" w:rsidP="00D45DBE">
                            <w:pPr>
                              <w:pBdr>
                                <w:top w:val="single" w:sz="24" w:space="31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5D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pt;margin-top:.6pt;width:132.3pt;height:100.2pt;z-index: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" filled="f" stroked="f">
                <v:textbox>
                  <w:txbxContent>
                    <w:p w:rsidR="00D45DBE" w:rsidRDefault="00D45DBE" w:rsidP="00D45DBE">
                      <w:pPr>
                        <w:shd w:val="clear" w:color="auto" w:fill="FFFFFF"/>
                        <w:spacing w:after="72" w:line="288" w:lineRule="atLeast"/>
                        <w:jc w:val="center"/>
                        <w:textAlignment w:val="baseline"/>
                        <w:outlineLvl w:val="2"/>
                        <w:rPr>
                          <w:rFonts w:ascii="Segoe UI" w:eastAsia="Times New Roman" w:hAnsi="Segoe UI" w:cs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000000"/>
                          <w:sz w:val="18"/>
                          <w:szCs w:val="18"/>
                        </w:rPr>
                        <w:t>Covered as of 2 Jan 2012</w:t>
                      </w:r>
                    </w:p>
                    <w:p w:rsidR="00D45DBE" w:rsidRDefault="00D45DBE" w:rsidP="00D45DBE">
                      <w:pPr>
                        <w:shd w:val="clear" w:color="auto" w:fill="FFFFFF"/>
                        <w:spacing w:after="72" w:line="288" w:lineRule="atLeast"/>
                        <w:jc w:val="center"/>
                        <w:textAlignment w:val="baseline"/>
                        <w:outlineLvl w:val="2"/>
                        <w:rPr>
                          <w:rFonts w:ascii="Segoe UI" w:eastAsia="Times New Roman" w:hAnsi="Segoe UI" w:cs="Segoe UI"/>
                          <w:color w:val="FF0000"/>
                          <w:sz w:val="18"/>
                          <w:szCs w:val="18"/>
                        </w:rPr>
                      </w:pPr>
                      <w:r w:rsidRPr="009A5950">
                        <w:rPr>
                          <w:rFonts w:ascii="Segoe UI" w:eastAsia="Times New Roman" w:hAnsi="Segoe UI" w:cs="Segoe UI"/>
                          <w:color w:val="FF0000"/>
                          <w:sz w:val="18"/>
                          <w:szCs w:val="18"/>
                        </w:rPr>
                        <w:t>Needs covering</w:t>
                      </w:r>
                    </w:p>
                    <w:p w:rsidR="00D45DBE" w:rsidRPr="009A5950" w:rsidRDefault="00D45DBE" w:rsidP="00D45DBE">
                      <w:pPr>
                        <w:shd w:val="clear" w:color="auto" w:fill="FFFFFF"/>
                        <w:spacing w:after="72" w:line="288" w:lineRule="atLeast"/>
                        <w:jc w:val="center"/>
                        <w:textAlignment w:val="baseline"/>
                        <w:outlineLvl w:val="2"/>
                        <w:rPr>
                          <w:rFonts w:ascii="Segoe UI" w:eastAsia="Times New Roman" w:hAnsi="Segoe UI" w:cs="Segoe UI"/>
                          <w:color w:val="5B9BD5" w:themeColor="accent1"/>
                          <w:sz w:val="18"/>
                          <w:szCs w:val="18"/>
                        </w:rPr>
                      </w:pPr>
                      <w:r w:rsidRPr="009A5950">
                        <w:rPr>
                          <w:rFonts w:ascii="Segoe UI" w:eastAsia="Times New Roman" w:hAnsi="Segoe UI" w:cs="Segoe UI"/>
                          <w:color w:val="5B9BD5" w:themeColor="accent1"/>
                          <w:sz w:val="18"/>
                          <w:szCs w:val="18"/>
                        </w:rPr>
                        <w:t>Covered as of 9 Jan 2012</w:t>
                      </w:r>
                    </w:p>
                    <w:p w:rsidR="00D45DBE" w:rsidRDefault="00D45DBE" w:rsidP="00D45DBE">
                      <w:pPr>
                        <w:pBdr>
                          <w:top w:val="single" w:sz="24" w:space="31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3D1" w:rsidRPr="00D373D1">
        <w:rPr>
          <w:rFonts w:ascii="Segoe UI" w:eastAsia="Times New Roman" w:hAnsi="Segoe UI" w:cs="Segoe UI"/>
          <w:b/>
          <w:i/>
          <w:color w:val="000000"/>
          <w:sz w:val="28"/>
          <w:szCs w:val="28"/>
        </w:rPr>
        <w:t xml:space="preserve">Exam 70-496:  </w:t>
      </w:r>
      <w:r w:rsidR="00D373D1" w:rsidRPr="00D373D1">
        <w:rPr>
          <w:rFonts w:ascii="Segoe UI" w:eastAsia="Times New Roman" w:hAnsi="Segoe UI" w:cs="Segoe UI"/>
          <w:b/>
          <w:i/>
          <w:color w:val="000000"/>
          <w:kern w:val="36"/>
          <w:sz w:val="28"/>
          <w:szCs w:val="28"/>
        </w:rPr>
        <w:t>Administering Visual Studio TFS 2012</w:t>
      </w:r>
    </w:p>
    <w:tbl>
      <w:tblPr>
        <w:tblW w:w="104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7"/>
      </w:tblGrid>
      <w:tr w:rsidR="00D373D1" w:rsidRPr="00D373D1" w:rsidTr="00D45DBE">
        <w:trPr>
          <w:trHeight w:val="24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373D1" w:rsidRPr="00D373D1" w:rsidRDefault="00D373D1" w:rsidP="00D373D1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Skills Being Measured</w:t>
            </w:r>
          </w:p>
        </w:tc>
      </w:tr>
    </w:tbl>
    <w:p w:rsidR="00D373D1" w:rsidRPr="00D373D1" w:rsidRDefault="00D373D1" w:rsidP="00D37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1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2"/>
      </w:tblGrid>
      <w:tr w:rsidR="00D373D1" w:rsidRPr="00D373D1" w:rsidTr="00D373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373D1" w:rsidRPr="00D373D1" w:rsidRDefault="00D373D1" w:rsidP="00D373D1">
            <w:pPr>
              <w:spacing w:after="48" w:line="270" w:lineRule="atLeast"/>
              <w:textAlignment w:val="baseline"/>
              <w:divId w:val="1976252100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Install and Configure Team Foundation Server (25%)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Install Team Foundation Server.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SQL Server version support;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installing Team Foundation Server in a multi-tier or multi-machine environment;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installing Team Foundation Server in a load-balanced environment; </w:t>
            </w:r>
          </w:p>
          <w:p w:rsidR="00D373D1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a version control proxy server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the application tier.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validating an installation;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configuring SMTP for Team Foundation Server; </w:t>
            </w:r>
            <w:bookmarkStart w:id="0" w:name="_GoBack"/>
            <w:bookmarkEnd w:id="0"/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changing the URL (friendly name);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changing the default SharePoint web application; </w:t>
            </w:r>
          </w:p>
          <w:p w:rsidR="00D373D1" w:rsidRPr="00C541C0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reporting (SQL Server Analysis Services)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Migrate and upgrade Team Foundation Server.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upgrading to Team Foundation Server 2012 in-place or moving to new hardware;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importing a source base from a non–Team Foundation Server system; </w:t>
            </w:r>
          </w:p>
          <w:p w:rsidR="00D373D1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upgrading a Team Project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Install and configure Lab Management.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setting up environment templates;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installing and configuring test agents; </w:t>
            </w:r>
          </w:p>
          <w:p w:rsidR="003A4BB5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installing and configuring System Center Virtual Machine Manager (basic Virtual Machine Manager installation); </w:t>
            </w:r>
          </w:p>
          <w:p w:rsidR="00D373D1" w:rsidRPr="00FB430D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creating library shares or resource pools</w:t>
            </w:r>
          </w:p>
          <w:p w:rsidR="00D373D1" w:rsidRPr="00D373D1" w:rsidRDefault="00D373D1" w:rsidP="00D373D1">
            <w:pPr>
              <w:numPr>
                <w:ilvl w:val="0"/>
                <w:numId w:val="1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Install and configure multiple build agents and controllers.</w:t>
            </w:r>
          </w:p>
          <w:p w:rsidR="003A4BB5" w:rsidRPr="003A4BB5" w:rsidRDefault="00D373D1" w:rsidP="00D373D1">
            <w:pPr>
              <w:numPr>
                <w:ilvl w:val="1"/>
                <w:numId w:val="1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tagging and binding a controller to a project collection; </w:t>
            </w:r>
          </w:p>
          <w:p w:rsidR="00D373D1" w:rsidRPr="00D373D1" w:rsidRDefault="00D373D1" w:rsidP="003A4BB5">
            <w:pPr>
              <w:numPr>
                <w:ilvl w:val="2"/>
                <w:numId w:val="1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adding a build agent</w:t>
            </w:r>
          </w:p>
          <w:p w:rsidR="00D373D1" w:rsidRPr="00D373D1" w:rsidRDefault="00D373D1" w:rsidP="00D373D1">
            <w:pPr>
              <w:spacing w:after="48" w:line="270" w:lineRule="atLeas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Manage Team Foundation Server (26%)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Team Project Collections.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moving project collections;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managing team collections and projects;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creating and configuring Team Project Collections;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creating a team project using SharePoint and SQL Server Reporting Services (SSRS);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splitting and partitioning team project collections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for backup and recovery.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backup and recovery of Team Foundation Server and related components;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recovering a failed application tier;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recovering a failed database tier;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implementing a disaster recovery plan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Monitor server health and performance.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monitoring the server for performance issues (monitoring activity logging database and Team Foundation Server </w:t>
            </w:r>
            <w:proofErr w:type="spellStart"/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server</w:t>
            </w:r>
            <w:proofErr w:type="spellEnd"/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 manager);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lastRenderedPageBreak/>
              <w:t xml:space="preserve">monitoring the job infrastructure for failed jobs (monitoring warehouse adapters and warehouse jobs);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cleanup of stale workspaces and </w:t>
            </w:r>
            <w:proofErr w:type="spellStart"/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shelvesets</w:t>
            </w:r>
            <w:proofErr w:type="spellEnd"/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Team Foundation Build to use a version control proxy server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Operate Lab Management.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operating and modifying lab environments;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repairing lab environments; using snapshots;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storing System Center Virtual Machine Manager environments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security.</w:t>
            </w:r>
          </w:p>
          <w:p w:rsidR="003A4BB5" w:rsidRPr="003A4BB5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configuring limited users; </w:t>
            </w:r>
          </w:p>
          <w:p w:rsidR="003A4BB5" w:rsidRPr="003A4BB5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managing roles in Team Foundation Server using Active Directory groups;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managing permissions in Team Foundation Server in SharePoint, SSRS, builds, source control, and Work Item Management; </w:t>
            </w:r>
          </w:p>
          <w:p w:rsidR="003A4BB5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creating and managing teams; </w:t>
            </w:r>
          </w:p>
          <w:p w:rsidR="00D373D1" w:rsidRPr="00FB430D" w:rsidRDefault="00D373D1" w:rsidP="003A4BB5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configuring security for users who do not have a Client Access License (CAL)</w:t>
            </w:r>
          </w:p>
          <w:p w:rsidR="00D373D1" w:rsidRPr="00D373D1" w:rsidRDefault="00D373D1" w:rsidP="00D373D1">
            <w:pPr>
              <w:numPr>
                <w:ilvl w:val="0"/>
                <w:numId w:val="2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reporting for Team Foundation Server.</w:t>
            </w:r>
          </w:p>
          <w:p w:rsidR="00212079" w:rsidRPr="00212079" w:rsidRDefault="00D373D1" w:rsidP="00D373D1">
            <w:pPr>
              <w:numPr>
                <w:ilvl w:val="1"/>
                <w:numId w:val="2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managing basic reporting using Microsoft Office Excel Services;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customizing the SharePoint team project portal;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uploading a new SSRS Team Foundation Server report; </w:t>
            </w:r>
          </w:p>
          <w:p w:rsidR="00212079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configuring Team Foundation Server to enable a report to appear </w:t>
            </w:r>
            <w:r w:rsidR="00212079"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in a SharePoint project portal;</w:t>
            </w:r>
          </w:p>
          <w:p w:rsidR="00D373D1" w:rsidRPr="00C541C0" w:rsidRDefault="00D373D1" w:rsidP="00212079">
            <w:pPr>
              <w:numPr>
                <w:ilvl w:val="2"/>
                <w:numId w:val="2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rebuilding the Team Foundation Server data warehouse</w:t>
            </w:r>
          </w:p>
          <w:p w:rsidR="00D373D1" w:rsidRPr="00D373D1" w:rsidRDefault="00D373D1" w:rsidP="00D373D1">
            <w:pPr>
              <w:spacing w:after="48" w:line="270" w:lineRule="atLeas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Customize Team Foundation Server for Team Use (24%)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a team build definition.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for a symbol server and source server;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for custom build numbers;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configuring build log verbosity;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definition properties including test impact analysis, code analysis, automated unit testing, and architecture validation;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setting up build triggers (gated check-in, continuous integration, scheduled build); </w:t>
            </w:r>
          </w:p>
          <w:p w:rsidR="00D373D1" w:rsidRPr="00D373D1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configuring the build drop location to be in source code control </w:t>
            </w: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or a </w:t>
            </w:r>
            <w:proofErr w:type="spellStart"/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fileshare</w:t>
            </w:r>
            <w:proofErr w:type="spellEnd"/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Manage build execution.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queuing a build with parameters; </w:t>
            </w:r>
          </w:p>
          <w:p w:rsidR="003A4BB5" w:rsidRPr="00C541C0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reconciling workspaces as part of a gated check-in workflow;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customizing build qualities; </w:t>
            </w:r>
          </w:p>
          <w:p w:rsidR="00D373D1" w:rsidRPr="00D373D1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cleanup of builds (applying retention policies)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Modify a process template.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uploading and downloading process templates;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troubleshooting template errors; </w:t>
            </w:r>
          </w:p>
          <w:p w:rsidR="00D373D1" w:rsidRPr="00D373D1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customizing functional areas within process templates</w:t>
            </w: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, including </w:t>
            </w: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SSRS, SharePoint, </w:t>
            </w: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build definitions, Work Items, and </w:t>
            </w:r>
            <w:r w:rsidRPr="00C541C0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queries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a team project.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defining areas and iterations;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managing users through the default security groups;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managing portal settings (team project portal site URL, process guidance URL); </w:t>
            </w:r>
          </w:p>
          <w:p w:rsidR="00D373D1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lastRenderedPageBreak/>
              <w:t>defining project-level alerts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Apply Work Item customizations.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adding a new Work Item type as a child of an existing Work Item; </w:t>
            </w:r>
          </w:p>
          <w:p w:rsidR="003A4BB5" w:rsidRPr="003A4BB5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customizing field definitions for a Work Item;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customizing form layout and workflows; </w:t>
            </w:r>
          </w:p>
          <w:p w:rsidR="00D373D1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customizing global lists, link types, and categories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Create Work Item queries.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defining query folders and permissions;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applying query types (tree, flat, directed); </w:t>
            </w:r>
          </w:p>
          <w:p w:rsidR="003A4BB5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adding fields to a query; </w:t>
            </w:r>
          </w:p>
          <w:p w:rsidR="00D373D1" w:rsidRPr="00D373D1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creating a query by using Team Explorer</w:t>
            </w:r>
          </w:p>
          <w:p w:rsidR="00D373D1" w:rsidRPr="00D373D1" w:rsidRDefault="00D373D1" w:rsidP="00D373D1">
            <w:pPr>
              <w:numPr>
                <w:ilvl w:val="0"/>
                <w:numId w:val="3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client connectivity to Team Foundation Server.</w:t>
            </w:r>
          </w:p>
          <w:p w:rsidR="003A4BB5" w:rsidRPr="003A4BB5" w:rsidRDefault="00D373D1" w:rsidP="00D373D1">
            <w:pPr>
              <w:numPr>
                <w:ilvl w:val="1"/>
                <w:numId w:val="3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FB430D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configuring Visual Studio, </w:t>
            </w: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Team Explorer, Team Explorer Everywhere, Excel, Project, and other tools to connect to Team Foundation Server; </w:t>
            </w:r>
          </w:p>
          <w:p w:rsidR="00D373D1" w:rsidRPr="00FB430D" w:rsidRDefault="00D373D1" w:rsidP="003A4BB5">
            <w:pPr>
              <w:numPr>
                <w:ilvl w:val="2"/>
                <w:numId w:val="3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configuring clients for a proxy server</w:t>
            </w:r>
          </w:p>
          <w:p w:rsidR="00D373D1" w:rsidRPr="00D373D1" w:rsidRDefault="00D373D1" w:rsidP="00D373D1">
            <w:pPr>
              <w:spacing w:after="48" w:line="270" w:lineRule="atLeas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D373D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Administer Version Control (25%)</w:t>
            </w:r>
          </w:p>
          <w:p w:rsidR="00D373D1" w:rsidRPr="00D373D1" w:rsidRDefault="00D373D1" w:rsidP="00D373D1">
            <w:pPr>
              <w:numPr>
                <w:ilvl w:val="0"/>
                <w:numId w:val="4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Create and manage workspaces.</w:t>
            </w:r>
          </w:p>
          <w:p w:rsidR="003A4BB5" w:rsidRPr="003A4BB5" w:rsidRDefault="00D373D1" w:rsidP="00D373D1">
            <w:pPr>
              <w:numPr>
                <w:ilvl w:val="1"/>
                <w:numId w:val="4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cloaking, undoing delete, and modifying a workspace;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deleting a workspace;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specifying workspace visibility;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unlocking other users’ checkouts, pending changes, and code;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choosing a default workspace type for a collection; </w:t>
            </w:r>
          </w:p>
          <w:p w:rsidR="00D373D1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deleting a </w:t>
            </w:r>
            <w:proofErr w:type="spellStart"/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shelveset</w:t>
            </w:r>
            <w:proofErr w:type="spellEnd"/>
          </w:p>
          <w:p w:rsidR="00D373D1" w:rsidRPr="00D373D1" w:rsidRDefault="00D373D1" w:rsidP="00D373D1">
            <w:pPr>
              <w:numPr>
                <w:ilvl w:val="0"/>
                <w:numId w:val="4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version control proxy.</w:t>
            </w:r>
          </w:p>
          <w:p w:rsidR="003A4BB5" w:rsidRPr="003A4BB5" w:rsidRDefault="00D373D1" w:rsidP="00D373D1">
            <w:pPr>
              <w:numPr>
                <w:ilvl w:val="1"/>
                <w:numId w:val="4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the cache hit ratio;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setting up the cache size; </w:t>
            </w:r>
          </w:p>
          <w:p w:rsidR="00D373D1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setting up for multiple Team Foundation Server servers</w:t>
            </w:r>
          </w:p>
          <w:p w:rsidR="00D373D1" w:rsidRPr="00D373D1" w:rsidRDefault="00D373D1" w:rsidP="00D373D1">
            <w:pPr>
              <w:numPr>
                <w:ilvl w:val="0"/>
                <w:numId w:val="4"/>
              </w:numPr>
              <w:spacing w:after="0" w:line="270" w:lineRule="atLeast"/>
              <w:ind w:left="83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>Configure team project version control settings.</w:t>
            </w:r>
          </w:p>
          <w:p w:rsidR="003A4BB5" w:rsidRPr="003A4BB5" w:rsidRDefault="00D373D1" w:rsidP="00D373D1">
            <w:pPr>
              <w:numPr>
                <w:ilvl w:val="1"/>
                <w:numId w:val="4"/>
              </w:numPr>
              <w:spacing w:after="0" w:line="270" w:lineRule="atLeast"/>
              <w:ind w:left="1311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This objective may include but is not limited to: </w:t>
            </w:r>
          </w:p>
          <w:p w:rsidR="003A4BB5" w:rsidRPr="003A4BB5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373D1">
              <w:rPr>
                <w:rFonts w:ascii="Segoe UI" w:eastAsia="Times New Roman" w:hAnsi="Segoe UI" w:cs="Segoe UI"/>
                <w:color w:val="000000"/>
                <w:sz w:val="18"/>
                <w:szCs w:val="18"/>
                <w:bdr w:val="none" w:sz="0" w:space="0" w:color="auto" w:frame="1"/>
              </w:rPr>
              <w:t xml:space="preserve">enabling multiple checkout; </w:t>
            </w:r>
          </w:p>
          <w:p w:rsidR="003A4BB5" w:rsidRPr="00FB430D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FF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 xml:space="preserve">enabling get latest on checkout; </w:t>
            </w:r>
          </w:p>
          <w:p w:rsidR="00D373D1" w:rsidRPr="00D373D1" w:rsidRDefault="00D373D1" w:rsidP="003A4BB5">
            <w:pPr>
              <w:numPr>
                <w:ilvl w:val="2"/>
                <w:numId w:val="4"/>
              </w:numPr>
              <w:spacing w:after="0" w:line="270" w:lineRule="atLeast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B430D">
              <w:rPr>
                <w:rFonts w:ascii="Segoe UI" w:eastAsia="Times New Roman" w:hAnsi="Segoe UI" w:cs="Segoe UI"/>
                <w:color w:val="FF0000"/>
                <w:sz w:val="18"/>
                <w:szCs w:val="18"/>
                <w:bdr w:val="none" w:sz="0" w:space="0" w:color="auto" w:frame="1"/>
              </w:rPr>
              <w:t>configuring check-in policies for a team project (Work Items, builds, code analysis, testing policies)</w:t>
            </w:r>
          </w:p>
        </w:tc>
      </w:tr>
      <w:tr w:rsidR="003A4BB5" w:rsidRPr="00D373D1" w:rsidTr="00D373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3A4BB5" w:rsidRPr="00D373D1" w:rsidRDefault="003A4BB5" w:rsidP="00D373D1">
            <w:pPr>
              <w:spacing w:after="48" w:line="270" w:lineRule="atLeast"/>
              <w:textAlignment w:val="baseline"/>
              <w:divId w:val="1976252100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467CE4" w:rsidRDefault="00467CE4"/>
    <w:sectPr w:rsidR="00467CE4" w:rsidSect="00D373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951"/>
    <w:multiLevelType w:val="multilevel"/>
    <w:tmpl w:val="34D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511F29"/>
    <w:multiLevelType w:val="multilevel"/>
    <w:tmpl w:val="4B8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C34248"/>
    <w:multiLevelType w:val="multilevel"/>
    <w:tmpl w:val="136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4D6AC0"/>
    <w:multiLevelType w:val="multilevel"/>
    <w:tmpl w:val="445E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D1"/>
    <w:rsid w:val="00212079"/>
    <w:rsid w:val="003A4BB5"/>
    <w:rsid w:val="00467CE4"/>
    <w:rsid w:val="009A5950"/>
    <w:rsid w:val="00B24C07"/>
    <w:rsid w:val="00BB263B"/>
    <w:rsid w:val="00C541C0"/>
    <w:rsid w:val="00D373D1"/>
    <w:rsid w:val="00D45DBE"/>
    <w:rsid w:val="00DF6D39"/>
    <w:rsid w:val="00FB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D5322-3753-40FF-9DB4-3D545B75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7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pagescontentuberheading">
    <w:name w:val="detailpagescontentuberheading"/>
    <w:basedOn w:val="DefaultParagraphFont"/>
    <w:rsid w:val="00D373D1"/>
  </w:style>
  <w:style w:type="character" w:customStyle="1" w:styleId="detailpagescontenttexttight">
    <w:name w:val="detailpagescontenttexttight"/>
    <w:basedOn w:val="DefaultParagraphFont"/>
    <w:rsid w:val="00D373D1"/>
  </w:style>
  <w:style w:type="character" w:customStyle="1" w:styleId="detailpagescontenttext">
    <w:name w:val="detailpagescontenttext"/>
    <w:basedOn w:val="DefaultParagraphFont"/>
    <w:rsid w:val="00D373D1"/>
  </w:style>
  <w:style w:type="character" w:customStyle="1" w:styleId="Heading1Char">
    <w:name w:val="Heading 1 Char"/>
    <w:basedOn w:val="DefaultParagraphFont"/>
    <w:link w:val="Heading1"/>
    <w:uiPriority w:val="9"/>
    <w:rsid w:val="00D373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73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Centare</Company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Duitsman</dc:creator>
  <cp:keywords/>
  <dc:description/>
  <cp:lastModifiedBy>Steve Duitsman</cp:lastModifiedBy>
  <cp:revision>9</cp:revision>
  <dcterms:created xsi:type="dcterms:W3CDTF">2013-01-01T16:36:00Z</dcterms:created>
  <dcterms:modified xsi:type="dcterms:W3CDTF">2013-01-02T20:40:00Z</dcterms:modified>
</cp:coreProperties>
</file>