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jc w:val="center"/>
      </w:pPr>
      <w:r>
        <w:rPr>
          <w:rFonts w:ascii="Iowan Old Style" w:cs="Iowan Old Style" w:eastAsia="Iowan Old Style" w:hAnsi="Iowan Old Style"/>
          <w:color w:val="888888"/>
          <w:sz w:val="24"/>
          <w:szCs w:val="24"/>
        </w:rPr>
        <w:t xml:space="preserve">Concorde Ventures</w:t>
      </w:r>
    </w:p>
    <w:p>
      <w:pPr>
        <w:spacing w:after="240"/>
        <w:jc w:val="center"/>
      </w:pPr>
      <w:r>
        <w:rPr>
          <w:rFonts w:ascii="Iowan Old Style" w:cs="Iowan Old Style" w:eastAsia="Iowan Old Style" w:hAnsi="Iowan Old Style"/>
          <w:b/>
          <w:bCs/>
          <w:sz w:val="56"/>
          <w:szCs w:val="56"/>
        </w:rPr>
        <w:t xml:space="preserve">Veille académique consolidée</w:t>
      </w:r>
    </w:p>
    <w:p>
      <w:pPr>
        <w:spacing w:after="120"/>
        <w:jc w:val="center"/>
      </w:pPr>
      <w:r>
        <w:rPr>
          <w:rFonts w:ascii="Iowan Old Style" w:cs="Iowan Old Style" w:eastAsia="Iowan Old Style" w:hAnsi="Iowan Old Style"/>
          <w:i/>
          <w:iCs/>
          <w:color w:val="555555"/>
          <w:sz w:val="32"/>
          <w:szCs w:val="32"/>
        </w:rPr>
        <w:t xml:space="preserve">Calibration des moteurs analytiques</w:t>
      </w:r>
    </w:p>
    <w:p>
      <w:pPr>
        <w:spacing w:after="1200"/>
        <w:jc w:val="center"/>
      </w:pPr>
      <w:r>
        <w:rPr>
          <w:rFonts w:ascii="Iowan Old Style" w:cs="Iowan Old Style" w:eastAsia="Iowan Old Style" w:hAnsi="Iowan Old Style"/>
          <w:i/>
          <w:iCs/>
          <w:color w:val="555555"/>
          <w:sz w:val="26"/>
          <w:szCs w:val="26"/>
        </w:rPr>
        <w:t xml:space="preserve">à partir de la recherche peer-reviewed et des rapports de référence</w:t>
      </w:r>
    </w:p>
    <w:p>
      <w:pPr>
        <w:spacing w:after="120"/>
        <w:jc w:val="center"/>
      </w:pPr>
      <w:r>
        <w:rPr>
          <w:rFonts w:ascii="Charter" w:cs="Charter" w:eastAsia="Charter" w:hAnsi="Charter"/>
          <w:color w:val="888888"/>
          <w:sz w:val="20"/>
          <w:szCs w:val="20"/>
        </w:rPr>
        <w:t xml:space="preserve">Document v0.2 · Synthèse consolidée pour calibration des moteurs</w:t>
      </w:r>
    </w:p>
    <w:p>
      <w:pPr>
        <w:jc w:val="center"/>
      </w:pPr>
      <w:r>
        <w:rPr>
          <w:rFonts w:ascii="Charter" w:cs="Charter" w:eastAsia="Charter" w:hAnsi="Charter"/>
          <w:color w:val="888888"/>
          <w:sz w:val="20"/>
          <w:szCs w:val="20"/>
        </w:rPr>
        <w:t xml:space="preserve">Steve Moradel · Avril 2026</w:t>
      </w:r>
    </w:p>
    <w:p>
      <w:r>
        <w:br w:type="page"/>
      </w:r>
    </w:p>
    <w:p>
      <w:pPr>
        <w:pStyle w:val="Heading1"/>
        <w:spacing w:after="240" w:before="480"/>
      </w:pPr>
      <w:r>
        <w:rPr>
          <w:rFonts w:ascii="Iowan Old Style" w:cs="Iowan Old Style" w:eastAsia="Iowan Old Style" w:hAnsi="Iowan Old Style"/>
          <w:b/>
          <w:bCs/>
          <w:sz w:val="36"/>
          <w:szCs w:val="36"/>
        </w:rPr>
        <w:t xml:space="preserve">Préambule méthodologique</w:t>
      </w:r>
    </w:p>
    <w:p>
      <w:pPr>
        <w:spacing w:after="160"/>
        <w:jc w:val="both"/>
      </w:pPr>
      <w:r>
        <w:rPr>
          <w:rFonts w:ascii="Charter" w:cs="Charter" w:eastAsia="Charter" w:hAnsi="Charter"/>
          <w:sz w:val="22"/>
          <w:szCs w:val="22"/>
        </w:rPr>
        <w:t xml:space="preserve">Ce document consolide la veille académique conduite pour calibrer les moteurs analytiques de la plateforme Concorde Ventures. Il agrège trois sources : la synthèse interne v0.1 produite à partir des travaux connus de l'équipe, et deux veilles complémentaires conduites avec des outils de recherche externe sur les bases académiques disponibles.</w:t>
      </w:r>
    </w:p>
    <w:p>
      <w:pPr>
        <w:spacing w:after="160"/>
        <w:jc w:val="both"/>
      </w:pPr>
      <w:r>
        <w:rPr>
          <w:rFonts w:ascii="Charter" w:cs="Charter" w:eastAsia="Charter" w:hAnsi="Charter"/>
          <w:sz w:val="22"/>
          <w:szCs w:val="22"/>
        </w:rPr>
        <w:t xml:space="preserve">Le document est structuré moteur par moteur de la plateforme, plutôt que par dimension académique. Cette structure est délibérément opérationnelle : chaque section de ce document servira directement à récrire le system prompt du moteur correspondant. Une section finale décrit la calibration de l'orchestrateur global.</w:t>
      </w:r>
    </w:p>
    <w:p>
      <w:pPr>
        <w:pStyle w:val="Heading3"/>
        <w:spacing w:after="120" w:before="240"/>
      </w:pPr>
      <w:r>
        <w:rPr>
          <w:rFonts w:ascii="Iowan Old Style" w:cs="Iowan Old Style" w:eastAsia="Iowan Old Style" w:hAnsi="Iowan Old Style"/>
          <w:b/>
          <w:bCs/>
          <w:sz w:val="24"/>
          <w:szCs w:val="24"/>
        </w:rPr>
        <w:t xml:space="preserve">Trois niveaux de fiabilité</w:t>
      </w:r>
    </w:p>
    <w:p>
      <w:pPr>
        <w:spacing w:after="160"/>
        <w:jc w:val="both"/>
      </w:pPr>
      <w:r>
        <w:rPr>
          <w:rFonts w:ascii="Charter" w:cs="Charter" w:eastAsia="Charter" w:hAnsi="Charter"/>
          <w:sz w:val="22"/>
          <w:szCs w:val="22"/>
        </w:rPr>
        <w:t xml:space="preserve">Les références citées dans ce document sont classées en trois niveaux explicites, signalés par un symbole devant chaque entrée.</w:t>
      </w:r>
    </w:p>
    <w:p>
      <w:pPr>
        <w:spacing w:after="120"/>
        <w:jc w:val="both"/>
      </w:pPr>
      <w:r>
        <w:rPr>
          <w:rFonts w:ascii="Charter" w:cs="Charter" w:eastAsia="Charter" w:hAnsi="Charter"/>
          <w:b/>
          <w:bCs/>
          <w:color w:val="2D5A3D"/>
          <w:sz w:val="22"/>
          <w:szCs w:val="22"/>
        </w:rPr>
        <w:t xml:space="preserve">◆ </w:t>
      </w:r>
      <w:r>
        <w:rPr>
          <w:rFonts w:ascii="Charter" w:cs="Charter" w:eastAsia="Charter" w:hAnsi="Charter"/>
          <w:b/>
          <w:bCs/>
          <w:sz w:val="22"/>
          <w:szCs w:val="22"/>
        </w:rPr>
        <w:t xml:space="preserve">Académique solide. </w:t>
      </w:r>
      <w:r>
        <w:rPr>
          <w:rFonts w:ascii="Charter" w:cs="Charter" w:eastAsia="Charter" w:hAnsi="Charter"/>
          <w:sz w:val="22"/>
          <w:szCs w:val="22"/>
        </w:rPr>
        <w:t xml:space="preserve">Études peer-reviewed publiées dans des revues scientifiques reconnues (Journal of Finance, Strategic Management Journal, NBER Working Papers, Harvard Business School cases, PNAS). Échantillons grands ou méthodologie expérimentale rigoureuse. Citations à intégrer comme socles structurants.</w:t>
      </w:r>
    </w:p>
    <w:p>
      <w:pPr>
        <w:spacing w:after="120"/>
        <w:jc w:val="both"/>
      </w:pPr>
      <w:r>
        <w:rPr>
          <w:rFonts w:ascii="Charter" w:cs="Charter" w:eastAsia="Charter" w:hAnsi="Charter"/>
          <w:b/>
          <w:bCs/>
          <w:color w:val="8C6D2C"/>
          <w:sz w:val="22"/>
          <w:szCs w:val="22"/>
        </w:rPr>
        <w:t xml:space="preserve">◇ </w:t>
      </w:r>
      <w:r>
        <w:rPr>
          <w:rFonts w:ascii="Charter" w:cs="Charter" w:eastAsia="Charter" w:hAnsi="Charter"/>
          <w:b/>
          <w:bCs/>
          <w:sz w:val="22"/>
          <w:szCs w:val="22"/>
        </w:rPr>
        <w:t xml:space="preserve">Académique avec limites. </w:t>
      </w:r>
      <w:r>
        <w:rPr>
          <w:rFonts w:ascii="Charter" w:cs="Charter" w:eastAsia="Charter" w:hAnsi="Charter"/>
          <w:sz w:val="22"/>
          <w:szCs w:val="22"/>
        </w:rPr>
        <w:t xml:space="preserve">Études peer-reviewed mais sur échantillons réduits, ou travaux d'auteurs reconnus en working paper non encore publié, ou études dont la méthodologie présente des limites identifiées. Citations à intégrer en explicitant les caveats.</w:t>
      </w:r>
    </w:p>
    <w:p>
      <w:pPr>
        <w:spacing w:after="200"/>
        <w:jc w:val="both"/>
      </w:pPr>
      <w:r>
        <w:rPr>
          <w:rFonts w:ascii="Charter" w:cs="Charter" w:eastAsia="Charter" w:hAnsi="Charter"/>
          <w:b/>
          <w:bCs/>
          <w:color w:val="888888"/>
          <w:sz w:val="22"/>
          <w:szCs w:val="22"/>
        </w:rPr>
        <w:t xml:space="preserve">○ </w:t>
      </w:r>
      <w:r>
        <w:rPr>
          <w:rFonts w:ascii="Charter" w:cs="Charter" w:eastAsia="Charter" w:hAnsi="Charter"/>
          <w:b/>
          <w:bCs/>
          <w:sz w:val="22"/>
          <w:szCs w:val="22"/>
        </w:rPr>
        <w:t xml:space="preserve">Rapport marché ou benchmark. </w:t>
      </w:r>
      <w:r>
        <w:rPr>
          <w:rFonts w:ascii="Charter" w:cs="Charter" w:eastAsia="Charter" w:hAnsi="Charter"/>
          <w:sz w:val="22"/>
          <w:szCs w:val="22"/>
        </w:rPr>
        <w:t xml:space="preserve">Données issues de rapports d'opérateurs reconnus (Atomico, Dealroom, Startup Genome, CB Insights, Bessemer, Reforge). Utiles pour les benchmarks chiffrés mais sans la rigueur méthodologique académique. À intégrer comme indicateurs, pas comme axiomes.</w:t>
      </w:r>
    </w:p>
    <w:p>
      <w:pPr>
        <w:pStyle w:val="Heading3"/>
        <w:spacing w:after="120" w:before="240"/>
      </w:pPr>
      <w:r>
        <w:rPr>
          <w:rFonts w:ascii="Iowan Old Style" w:cs="Iowan Old Style" w:eastAsia="Iowan Old Style" w:hAnsi="Iowan Old Style"/>
          <w:b/>
          <w:bCs/>
          <w:sz w:val="24"/>
          <w:szCs w:val="24"/>
        </w:rPr>
        <w:t xml:space="preserve">Plan du document</w:t>
      </w:r>
    </w:p>
    <w:p>
      <w:pPr>
        <w:pStyle w:val="ListParagraph"/>
        <w:numPr>
          <w:ilvl w:val="0"/>
          <w:numId w:val="2"/>
        </w:numPr>
        <w:spacing w:after="80"/>
      </w:pPr>
      <w:r>
        <w:rPr>
          <w:rFonts w:ascii="Charter" w:cs="Charter" w:eastAsia="Charter" w:hAnsi="Charter"/>
          <w:sz w:val="22"/>
          <w:szCs w:val="22"/>
        </w:rPr>
        <w:t xml:space="preserve">Première partie. Cadre de calibration global de la plateforme</w:t>
      </w:r>
    </w:p>
    <w:p>
      <w:pPr>
        <w:pStyle w:val="ListParagraph"/>
        <w:numPr>
          <w:ilvl w:val="0"/>
          <w:numId w:val="2"/>
        </w:numPr>
        <w:spacing w:after="80"/>
      </w:pPr>
      <w:r>
        <w:rPr>
          <w:rFonts w:ascii="Charter" w:cs="Charter" w:eastAsia="Charter" w:hAnsi="Charter"/>
          <w:sz w:val="22"/>
          <w:szCs w:val="22"/>
        </w:rPr>
        <w:t xml:space="preserve">Deuxième partie. Moteur 1 — Extraction</w:t>
      </w:r>
    </w:p>
    <w:p>
      <w:pPr>
        <w:pStyle w:val="ListParagraph"/>
        <w:numPr>
          <w:ilvl w:val="0"/>
          <w:numId w:val="2"/>
        </w:numPr>
        <w:spacing w:after="80"/>
      </w:pPr>
      <w:r>
        <w:rPr>
          <w:rFonts w:ascii="Charter" w:cs="Charter" w:eastAsia="Charter" w:hAnsi="Charter"/>
          <w:sz w:val="22"/>
          <w:szCs w:val="22"/>
        </w:rPr>
        <w:t xml:space="preserve">Troisième partie. Moteur 2 — Équipe</w:t>
      </w:r>
    </w:p>
    <w:p>
      <w:pPr>
        <w:pStyle w:val="ListParagraph"/>
        <w:numPr>
          <w:ilvl w:val="0"/>
          <w:numId w:val="2"/>
        </w:numPr>
        <w:spacing w:after="80"/>
      </w:pPr>
      <w:r>
        <w:rPr>
          <w:rFonts w:ascii="Charter" w:cs="Charter" w:eastAsia="Charter" w:hAnsi="Charter"/>
          <w:sz w:val="22"/>
          <w:szCs w:val="22"/>
        </w:rPr>
        <w:t xml:space="preserve">Quatrième partie. Moteur 3 — Marché et demande</w:t>
      </w:r>
    </w:p>
    <w:p>
      <w:pPr>
        <w:pStyle w:val="ListParagraph"/>
        <w:numPr>
          <w:ilvl w:val="0"/>
          <w:numId w:val="2"/>
        </w:numPr>
        <w:spacing w:after="80"/>
      </w:pPr>
      <w:r>
        <w:rPr>
          <w:rFonts w:ascii="Charter" w:cs="Charter" w:eastAsia="Charter" w:hAnsi="Charter"/>
          <w:sz w:val="22"/>
          <w:szCs w:val="22"/>
        </w:rPr>
        <w:t xml:space="preserve">Cinquième partie. Moteur 4 — Macro et géopolitique</w:t>
      </w:r>
    </w:p>
    <w:p>
      <w:pPr>
        <w:pStyle w:val="ListParagraph"/>
        <w:numPr>
          <w:ilvl w:val="0"/>
          <w:numId w:val="2"/>
        </w:numPr>
        <w:spacing w:after="80"/>
      </w:pPr>
      <w:r>
        <w:rPr>
          <w:rFonts w:ascii="Charter" w:cs="Charter" w:eastAsia="Charter" w:hAnsi="Charter"/>
          <w:sz w:val="22"/>
          <w:szCs w:val="22"/>
        </w:rPr>
        <w:t xml:space="preserve">Sixième partie. Moteur 5 — Pattern matching corpus</w:t>
      </w:r>
    </w:p>
    <w:p>
      <w:pPr>
        <w:pStyle w:val="ListParagraph"/>
        <w:numPr>
          <w:ilvl w:val="0"/>
          <w:numId w:val="2"/>
        </w:numPr>
        <w:spacing w:after="80"/>
      </w:pPr>
      <w:r>
        <w:rPr>
          <w:rFonts w:ascii="Charter" w:cs="Charter" w:eastAsia="Charter" w:hAnsi="Charter"/>
          <w:sz w:val="22"/>
          <w:szCs w:val="22"/>
        </w:rPr>
        <w:t xml:space="preserve">Septième partie. Moteur 6 — Retournement causal et angles morts</w:t>
      </w:r>
    </w:p>
    <w:p>
      <w:pPr>
        <w:pStyle w:val="ListParagraph"/>
        <w:numPr>
          <w:ilvl w:val="0"/>
          <w:numId w:val="2"/>
        </w:numPr>
        <w:spacing w:after="80"/>
      </w:pPr>
      <w:r>
        <w:rPr>
          <w:rFonts w:ascii="Charter" w:cs="Charter" w:eastAsia="Charter" w:hAnsi="Charter"/>
          <w:sz w:val="22"/>
          <w:szCs w:val="22"/>
        </w:rPr>
        <w:t xml:space="preserve">Huitième partie. Moteur 7 — Orchestration et recommandation</w:t>
      </w:r>
    </w:p>
    <w:p>
      <w:pPr>
        <w:pStyle w:val="ListParagraph"/>
        <w:numPr>
          <w:ilvl w:val="0"/>
          <w:numId w:val="2"/>
        </w:numPr>
        <w:spacing w:after="80"/>
      </w:pPr>
      <w:r>
        <w:rPr>
          <w:rFonts w:ascii="Charter" w:cs="Charter" w:eastAsia="Charter" w:hAnsi="Charter"/>
          <w:sz w:val="22"/>
          <w:szCs w:val="22"/>
        </w:rPr>
        <w:t xml:space="preserve">Neuvième partie. Moteurs à construire — Produit, traction, modèle économique, cap table, risques, cohérence</w:t>
      </w:r>
    </w:p>
    <w:p>
      <w:pPr>
        <w:pStyle w:val="ListParagraph"/>
        <w:numPr>
          <w:ilvl w:val="0"/>
          <w:numId w:val="2"/>
        </w:numPr>
        <w:spacing w:after="80"/>
      </w:pPr>
      <w:r>
        <w:rPr>
          <w:rFonts w:ascii="Charter" w:cs="Charter" w:eastAsia="Charter" w:hAnsi="Charter"/>
          <w:sz w:val="22"/>
          <w:szCs w:val="22"/>
        </w:rPr>
        <w:t xml:space="preserve">Dixième partie. Synthèse des seuils chiffrés à calibrer</w:t>
      </w:r>
    </w:p>
    <w:p>
      <w:r>
        <w:br w:type="page"/>
      </w:r>
    </w:p>
    <w:p>
      <w:pPr>
        <w:pStyle w:val="Heading1"/>
        <w:spacing w:after="240" w:before="480"/>
      </w:pPr>
      <w:r>
        <w:rPr>
          <w:rFonts w:ascii="Iowan Old Style" w:cs="Iowan Old Style" w:eastAsia="Iowan Old Style" w:hAnsi="Iowan Old Style"/>
          <w:b/>
          <w:bCs/>
          <w:sz w:val="36"/>
          <w:szCs w:val="36"/>
        </w:rPr>
        <w:t xml:space="preserve">Première partie</w:t>
      </w:r>
    </w:p>
    <w:p>
      <w:pPr>
        <w:pStyle w:val="Heading2"/>
        <w:spacing w:after="180" w:before="360"/>
      </w:pPr>
      <w:r>
        <w:rPr>
          <w:rFonts w:ascii="Iowan Old Style" w:cs="Iowan Old Style" w:eastAsia="Iowan Old Style" w:hAnsi="Iowan Old Style"/>
          <w:b/>
          <w:bCs/>
          <w:sz w:val="28"/>
          <w:szCs w:val="28"/>
        </w:rPr>
        <w:t xml:space="preserve">Cadre de calibration global de la plateforme</w:t>
      </w:r>
    </w:p>
    <w:p>
      <w:pPr>
        <w:spacing w:after="160"/>
        <w:jc w:val="both"/>
      </w:pPr>
      <w:r>
        <w:rPr>
          <w:rFonts w:ascii="Charter" w:cs="Charter" w:eastAsia="Charter" w:hAnsi="Charter"/>
          <w:sz w:val="22"/>
          <w:szCs w:val="22"/>
        </w:rPr>
        <w:t xml:space="preserve">Avant d'aborder chaque moteur individuellement, six axiomes structurants émergent de la consolidation. Ces axiomes pondèrent l'ensemble de la plateforme et déterminent l'orchestrateur global.</w:t>
      </w:r>
    </w:p>
    <w:p>
      <w:pPr>
        <w:pStyle w:val="Heading3"/>
        <w:spacing w:after="120" w:before="240"/>
      </w:pPr>
      <w:r>
        <w:rPr>
          <w:rFonts w:ascii="Iowan Old Style" w:cs="Iowan Old Style" w:eastAsia="Iowan Old Style" w:hAnsi="Iowan Old Style"/>
          <w:b/>
          <w:bCs/>
          <w:sz w:val="24"/>
          <w:szCs w:val="24"/>
        </w:rPr>
        <w:t xml:space="preserve">Axiome 1. La loi de puissance domine les retours VC</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Strebulaev — Stanford GSB, Venture Capital Initiative (2020-2025)</w:t>
      </w:r>
      <w:r>
        <w:rPr>
          <w:rFonts w:ascii="Charter" w:cs="Charter" w:eastAsia="Charter" w:hAnsi="Charter"/>
          <w:sz w:val="21"/>
          <w:szCs w:val="21"/>
        </w:rPr>
        <w:t xml:space="preserve"> — Sur la base d'une base de données propriétaire de plus de 30 000 startups financées par VC, environ 0,1% des startups génèrent plus de 50% des retours totaux du venture capital. Le succès est statistiquement une exception extrême, pas une distribution normale.</w:t>
      </w:r>
    </w:p>
    <w:p>
      <w:pPr>
        <w:spacing w:after="160"/>
        <w:jc w:val="both"/>
      </w:pPr>
      <w:r>
        <w:rPr>
          <w:rFonts w:ascii="Charter" w:cs="Charter" w:eastAsia="Charter" w:hAnsi="Charter"/>
          <w:b/>
          <w:bCs/>
          <w:sz w:val="22"/>
          <w:szCs w:val="22"/>
        </w:rPr>
        <w:t xml:space="preserve">Conséquence pour Concorde. </w:t>
      </w:r>
      <w:r>
        <w:rPr>
          <w:rFonts w:ascii="Charter" w:cs="Charter" w:eastAsia="Charter" w:hAnsi="Charter"/>
          <w:sz w:val="22"/>
          <w:szCs w:val="22"/>
        </w:rPr>
        <w:t xml:space="preserve">La plateforme ne peut pas être calibrée pour identifier les startups qui survivront, mais celles qui ont une probabilité non nulle d'atteindre la queue extrême de la distribution. Le verdict refuser doit être abondant. Le verdict investir doit être rare et exigeant. Un score moyen-haut signifie approfondir, pas investir par défaut.</w:t>
      </w:r>
    </w:p>
    <w:p>
      <w:pPr>
        <w:pStyle w:val="Heading3"/>
        <w:spacing w:after="120" w:before="240"/>
      </w:pPr>
      <w:r>
        <w:rPr>
          <w:rFonts w:ascii="Iowan Old Style" w:cs="Iowan Old Style" w:eastAsia="Iowan Old Style" w:hAnsi="Iowan Old Style"/>
          <w:b/>
          <w:bCs/>
          <w:sz w:val="24"/>
          <w:szCs w:val="24"/>
        </w:rPr>
        <w:t xml:space="preserve">Axiome 2. Le timing pèse plus que toute autre dimension</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Bill Gross — Idealab analyse 200+ startups (2015)</w:t>
      </w:r>
      <w:r>
        <w:rPr>
          <w:rFonts w:ascii="Charter" w:cs="Charter" w:eastAsia="Charter" w:hAnsi="Charter"/>
          <w:sz w:val="21"/>
          <w:szCs w:val="21"/>
        </w:rPr>
        <w:t xml:space="preserve"> — Cinq facteurs ordonnés par poids prédictif : timing 42%, équipe et exécution 32%, idée 28%, business model 24%, financement 14%. Le timing macro est le facteur dominant de réussite ou d'échec d'une startup.</w:t>
      </w:r>
    </w:p>
    <w:p>
      <w:pPr>
        <w:spacing w:after="160"/>
        <w:jc w:val="both"/>
      </w:pPr>
      <w:r>
        <w:rPr>
          <w:rFonts w:ascii="Charter" w:cs="Charter" w:eastAsia="Charter" w:hAnsi="Charter"/>
          <w:b/>
          <w:bCs/>
          <w:sz w:val="22"/>
          <w:szCs w:val="22"/>
        </w:rPr>
        <w:t xml:space="preserve">Conséquence pour Concorde. </w:t>
      </w:r>
      <w:r>
        <w:rPr>
          <w:rFonts w:ascii="Charter" w:cs="Charter" w:eastAsia="Charter" w:hAnsi="Charter"/>
          <w:sz w:val="22"/>
          <w:szCs w:val="22"/>
        </w:rPr>
        <w:t xml:space="preserve">Le moteur Macro doit avoir une pondération forte dans le score global, supérieure aux moteurs équipe et marché pris isolément. La fenêtre temporelle critique doit déclencher des alertes structurelles indépendantes du reste du dossier.</w:t>
      </w:r>
    </w:p>
    <w:p>
      <w:pPr>
        <w:pStyle w:val="Heading3"/>
        <w:spacing w:after="120" w:before="240"/>
      </w:pPr>
      <w:r>
        <w:rPr>
          <w:rFonts w:ascii="Iowan Old Style" w:cs="Iowan Old Style" w:eastAsia="Iowan Old Style" w:hAnsi="Iowan Old Style"/>
          <w:b/>
          <w:bCs/>
          <w:sz w:val="24"/>
          <w:szCs w:val="24"/>
        </w:rPr>
        <w:t xml:space="preserve">Axiome 3. L'absence de marché est la première cause d'échec</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CB Insights — analyses post-mortems (2018-2024)</w:t>
      </w:r>
      <w:r>
        <w:rPr>
          <w:rFonts w:ascii="Charter" w:cs="Charter" w:eastAsia="Charter" w:hAnsi="Charter"/>
          <w:sz w:val="21"/>
          <w:szCs w:val="21"/>
        </w:rPr>
        <w:t xml:space="preserve"> — Top 5 des causes d'échec déclarées : no market need 35%, ran out of cash 38%, not the right team 20%, pricing problem 18%, product issue 16%. La convergence sur ces cinq facteurs est robuste à travers les années, malgré le biais de rationalisation des post-mortems déclaratifs.</w:t>
      </w:r>
    </w:p>
    <w:p>
      <w:pPr>
        <w:spacing w:after="160"/>
        <w:jc w:val="both"/>
      </w:pPr>
      <w:r>
        <w:rPr>
          <w:rFonts w:ascii="Charter" w:cs="Charter" w:eastAsia="Charter" w:hAnsi="Charter"/>
          <w:b/>
          <w:bCs/>
          <w:sz w:val="22"/>
          <w:szCs w:val="22"/>
        </w:rPr>
        <w:t xml:space="preserve">Conséquence pour Concorde. </w:t>
      </w:r>
      <w:r>
        <w:rPr>
          <w:rFonts w:ascii="Charter" w:cs="Charter" w:eastAsia="Charter" w:hAnsi="Charter"/>
          <w:sz w:val="22"/>
          <w:szCs w:val="22"/>
        </w:rPr>
        <w:t xml:space="preserve">L'intensité du besoin client doit être pondérée plus fortement que la taille apparente du marché. Le moteur Marché doit instrumenter cette intensité par des signaux objectifs externes, pas par les KPIs déclarés du pitch deck.</w:t>
      </w:r>
    </w:p>
    <w:p>
      <w:pPr>
        <w:pStyle w:val="Heading3"/>
        <w:spacing w:after="120" w:before="240"/>
      </w:pPr>
      <w:r>
        <w:rPr>
          <w:rFonts w:ascii="Iowan Old Style" w:cs="Iowan Old Style" w:eastAsia="Iowan Old Style" w:hAnsi="Iowan Old Style"/>
          <w:b/>
          <w:bCs/>
          <w:sz w:val="24"/>
          <w:szCs w:val="24"/>
        </w:rPr>
        <w:t xml:space="preserve">Axiome 4. Les compétences d'exécution prédisent mieux que le pedigree</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Kaplan, Klebanov, Sørensen — Chicago Booth (2008, étendu 2014)</w:t>
      </w:r>
      <w:r>
        <w:rPr>
          <w:rFonts w:ascii="Charter" w:cs="Charter" w:eastAsia="Charter" w:hAnsi="Charter"/>
          <w:sz w:val="21"/>
          <w:szCs w:val="21"/>
        </w:rPr>
        <w:t xml:space="preserve"> — Étude sur 316 candidats CEO évalués sur plus de 30 traits par firmes de headhunting. Performance corrélée avec capacités d'exécution (organisation, persistance, standards élevés, capacité à recruter) plus qu'avec qualités relationnelles ou charismatiques. Étude étendue ensuite à plus de 2 600 candidats.</w:t>
      </w:r>
    </w:p>
    <w:p>
      <w:pPr>
        <w:spacing w:after="160"/>
        <w:jc w:val="both"/>
      </w:pPr>
      <w:r>
        <w:rPr>
          <w:rFonts w:ascii="Charter" w:cs="Charter" w:eastAsia="Charter" w:hAnsi="Charter"/>
          <w:b/>
          <w:bCs/>
          <w:sz w:val="22"/>
          <w:szCs w:val="22"/>
        </w:rPr>
        <w:t xml:space="preserve">Conséquence pour Concorde. </w:t>
      </w:r>
      <w:r>
        <w:rPr>
          <w:rFonts w:ascii="Charter" w:cs="Charter" w:eastAsia="Charter" w:hAnsi="Charter"/>
          <w:sz w:val="22"/>
          <w:szCs w:val="22"/>
        </w:rPr>
        <w:t xml:space="preserve">Le moteur d'équipe doit pondérer la couverture systémique opérationnelle plus que le pedigree canonique. L'expérience entrepreneuriale antérieure compte plus que le diplôme. Les sources publiques (GitHub, OpenAlex) doivent être interrogées pour vérifier les capacités d'exécution réelles.</w:t>
      </w:r>
    </w:p>
    <w:p>
      <w:pPr>
        <w:pStyle w:val="Heading3"/>
        <w:spacing w:after="120" w:before="240"/>
      </w:pPr>
      <w:r>
        <w:rPr>
          <w:rFonts w:ascii="Iowan Old Style" w:cs="Iowan Old Style" w:eastAsia="Iowan Old Style" w:hAnsi="Iowan Old Style"/>
          <w:b/>
          <w:bCs/>
          <w:sz w:val="24"/>
          <w:szCs w:val="24"/>
        </w:rPr>
        <w:t xml:space="preserve">Axiome 5. Les VCs déclarent jockey-betting mais font horse-betting</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Gompers, Gornall, Kaplan, Strebulaev — survey de 885 VCs (2016)</w:t>
      </w:r>
      <w:r>
        <w:rPr>
          <w:rFonts w:ascii="Charter" w:cs="Charter" w:eastAsia="Charter" w:hAnsi="Charter"/>
          <w:sz w:val="21"/>
          <w:szCs w:val="21"/>
        </w:rPr>
        <w:t xml:space="preserve"> — Le management team est cité comme facteur important par 95% des VCs et comme facteur n°1 par 47%. Mais l'analyse comportementale ultérieure montre que les VCs investissent en réalité dans des combinaisons marché-pedigree-réseau, pas dans des founders abstraits. Le décalage entre déclaratif et comportement est une source d'angles morts systémiques.</w:t>
      </w:r>
    </w:p>
    <w:p>
      <w:pPr>
        <w:spacing w:after="160"/>
        <w:jc w:val="both"/>
      </w:pPr>
      <w:r>
        <w:rPr>
          <w:rFonts w:ascii="Charter" w:cs="Charter" w:eastAsia="Charter" w:hAnsi="Charter"/>
          <w:b/>
          <w:bCs/>
          <w:sz w:val="22"/>
          <w:szCs w:val="22"/>
        </w:rPr>
        <w:t xml:space="preserve">Conséquence pour Concorde. </w:t>
      </w:r>
      <w:r>
        <w:rPr>
          <w:rFonts w:ascii="Charter" w:cs="Charter" w:eastAsia="Charter" w:hAnsi="Charter"/>
          <w:sz w:val="22"/>
          <w:szCs w:val="22"/>
        </w:rPr>
        <w:t xml:space="preserve">Le moteur de retournement causal doit explicitement rendre visible quelle dimension domine vraiment le score (équipe, marché, macro, ou alignement). Le pattern matching biais doit être instrumenté par génération de questions contraires à la thèse implicite du dossier.</w:t>
      </w:r>
    </w:p>
    <w:p>
      <w:pPr>
        <w:pStyle w:val="Heading3"/>
        <w:spacing w:after="120" w:before="240"/>
      </w:pPr>
      <w:r>
        <w:rPr>
          <w:rFonts w:ascii="Iowan Old Style" w:cs="Iowan Old Style" w:eastAsia="Iowan Old Style" w:hAnsi="Iowan Old Style"/>
          <w:b/>
          <w:bCs/>
          <w:sz w:val="24"/>
          <w:szCs w:val="24"/>
        </w:rPr>
        <w:t xml:space="preserve">Axiome 6. La gouvernance est le signal faible majeur</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Pollman — University of Pennsylvania (2023)</w:t>
      </w:r>
      <w:r>
        <w:rPr>
          <w:rFonts w:ascii="Charter" w:cs="Charter" w:eastAsia="Charter" w:hAnsi="Charter"/>
          <w:sz w:val="21"/>
          <w:szCs w:val="21"/>
        </w:rPr>
        <w:t xml:space="preserve"> — Théorie juridique et culturelle des startup failures. Plus de deux tiers des startups VC-backed n'atteignent pas un exit positif. La culture VC normalise l'échec mais masque les mécanismes de gouvernance défaillants : board peu indépendant, droits de vote concentrés, contre-pouvoirs absents.</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Birkinshaw — London Business School (2025, à confirmer)</w:t>
      </w:r>
      <w:r>
        <w:rPr>
          <w:rFonts w:ascii="Charter" w:cs="Charter" w:eastAsia="Charter" w:hAnsi="Charter"/>
          <w:sz w:val="21"/>
          <w:szCs w:val="21"/>
        </w:rPr>
        <w:t xml:space="preserve"> — Études de cas FTX et Better.com. Un fondateur détenant plus de 60% des droits de vote post-Series C augmenterait significativement le risque de décisions stratégiques erratiques non contestées.</w:t>
      </w:r>
    </w:p>
    <w:p>
      <w:pPr>
        <w:spacing w:after="160"/>
        <w:jc w:val="both"/>
      </w:pPr>
      <w:r>
        <w:rPr>
          <w:rFonts w:ascii="Charter" w:cs="Charter" w:eastAsia="Charter" w:hAnsi="Charter"/>
          <w:b/>
          <w:bCs/>
          <w:sz w:val="22"/>
          <w:szCs w:val="22"/>
        </w:rPr>
        <w:t xml:space="preserve">Conséquence pour Concorde. </w:t>
      </w:r>
      <w:r>
        <w:rPr>
          <w:rFonts w:ascii="Charter" w:cs="Charter" w:eastAsia="Charter" w:hAnsi="Charter"/>
          <w:sz w:val="22"/>
          <w:szCs w:val="22"/>
        </w:rPr>
        <w:t xml:space="preserve">Le futur moteur cap table et tour de financement doit interroger explicitement la structure de gouvernance, les droits de vote des fondateurs, l'indépendance du board. Au-delà de Series B, le seuil de 60% des droits de vote devient un signal d'alerte.</w:t>
      </w:r>
    </w:p>
    <w:p>
      <w:r>
        <w:br w:type="page"/>
      </w:r>
    </w:p>
    <w:p>
      <w:pPr>
        <w:pStyle w:val="Heading1"/>
        <w:spacing w:after="240" w:before="480"/>
      </w:pPr>
      <w:r>
        <w:rPr>
          <w:rFonts w:ascii="Iowan Old Style" w:cs="Iowan Old Style" w:eastAsia="Iowan Old Style" w:hAnsi="Iowan Old Style"/>
          <w:b/>
          <w:bCs/>
          <w:sz w:val="36"/>
          <w:szCs w:val="36"/>
        </w:rPr>
        <w:t xml:space="preserve">Deuxième partie</w:t>
      </w:r>
    </w:p>
    <w:p>
      <w:pPr>
        <w:pStyle w:val="Heading2"/>
        <w:spacing w:after="180" w:before="360"/>
      </w:pPr>
      <w:r>
        <w:rPr>
          <w:rFonts w:ascii="Iowan Old Style" w:cs="Iowan Old Style" w:eastAsia="Iowan Old Style" w:hAnsi="Iowan Old Style"/>
          <w:b/>
          <w:bCs/>
          <w:sz w:val="28"/>
          <w:szCs w:val="28"/>
        </w:rPr>
        <w:t xml:space="preserve">Moteur 1 — Extraction</w:t>
      </w:r>
    </w:p>
    <w:p>
      <w:pPr>
        <w:spacing w:after="160"/>
        <w:jc w:val="both"/>
      </w:pPr>
      <w:r>
        <w:rPr>
          <w:rFonts w:ascii="Charter" w:cs="Charter" w:eastAsia="Charter" w:hAnsi="Charter"/>
          <w:sz w:val="22"/>
          <w:szCs w:val="22"/>
        </w:rPr>
        <w:t xml:space="preserve">Le moteur d'extraction est le premier moteur du pipeline. Sa mission est de structurer factuellement les données du pitch deck. Il ne fait pas d'analyse, mais sa qualité conditionne tous les moteurs suivants. La calibration du moteur d'extraction consiste donc à identifier les éléments qui doivent être impérativement extraits, même s'ils ne sont pas mis en avant dans le deck.</w:t>
      </w:r>
    </w:p>
    <w:p>
      <w:pPr>
        <w:pStyle w:val="Heading3"/>
        <w:spacing w:after="120" w:before="240"/>
      </w:pPr>
      <w:r>
        <w:rPr>
          <w:rFonts w:ascii="Iowan Old Style" w:cs="Iowan Old Style" w:eastAsia="Iowan Old Style" w:hAnsi="Iowan Old Style"/>
          <w:b/>
          <w:bCs/>
          <w:sz w:val="24"/>
          <w:szCs w:val="24"/>
        </w:rPr>
        <w:t xml:space="preserve">Éléments à extraire systématiquement, même si peu visibles</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Eisenmann — Harvard Business School (2020), 470 founders US</w:t>
      </w:r>
      <w:r>
        <w:rPr>
          <w:rFonts w:ascii="Charter" w:cs="Charter" w:eastAsia="Charter" w:hAnsi="Charter"/>
          <w:sz w:val="21"/>
          <w:szCs w:val="21"/>
        </w:rPr>
        <w:t xml:space="preserve"> — Modèle de prédiction du succès early-stage avec un pseudo R² de 0,356, classant correctement 69% des observations. Cinq dimensions explicatives identifiées : customer value proposition, go-to-market, financement, équipe, opérations. Réduire le risque à produit-marché est insuffisant.</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Skok — Matrix Partners, travaux dérivés (2010-2024)</w:t>
      </w:r>
      <w:r>
        <w:rPr>
          <w:rFonts w:ascii="Charter" w:cs="Charter" w:eastAsia="Charter" w:hAnsi="Charter"/>
          <w:sz w:val="21"/>
          <w:szCs w:val="21"/>
        </w:rPr>
        <w:t xml:space="preserve"> — Les courbes de rétention par cohorte mensuelle sont le signal le plus prédictif du PMF. Pourtant elles sont rarement présentées dans les pitch decks par défaut. La pente de stabilisation compte plus que le niveau initial.</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Tunguz — Redpoint Ventures, benchmarks SaaS (2015-2024)</w:t>
      </w:r>
      <w:r>
        <w:rPr>
          <w:rFonts w:ascii="Charter" w:cs="Charter" w:eastAsia="Charter" w:hAnsi="Charter"/>
          <w:sz w:val="21"/>
          <w:szCs w:val="21"/>
        </w:rPr>
        <w:t xml:space="preserve"> — Les seuils prédictifs de scaling vers Series B et au-delà : net revenue retention supérieur à 100%, gross retention supérieur à 90%, payback period inférieur à 18 mois, magic number supérieur à 0,7. Ces seuils sont des points de calibration de la qualité réelle de la traction.</w:t>
      </w:r>
    </w:p>
    <w:p>
      <w:pPr>
        <w:pBdr>
          <w:left w:val="single" w:color="1F2D3D" w:sz="24" w:space="12"/>
        </w:pBdr>
        <w:shd w:fill="F4F4ED" w:val="clear"/>
        <w:spacing w:after="80" w:before="120"/>
        <w:ind w:left="360" w:right="360"/>
      </w:pPr>
      <w:r>
        <w:rPr>
          <w:rFonts w:ascii="Charter" w:cs="Charter" w:eastAsia="Charter" w:hAnsi="Charter"/>
          <w:b/>
          <w:bCs/>
          <w:sz w:val="21"/>
          <w:szCs w:val="21"/>
        </w:rPr>
        <w:t xml:space="preserve">Calibration du moteur d'extraction</w:t>
      </w:r>
    </w:p>
    <w:p>
      <w:pPr>
        <w:pStyle w:val="ListParagraph"/>
        <w:numPr>
          <w:ilvl w:val="0"/>
          <w:numId w:val="2"/>
        </w:numPr>
        <w:spacing w:after="80"/>
      </w:pPr>
      <w:r>
        <w:rPr>
          <w:rFonts w:ascii="Charter" w:cs="Charter" w:eastAsia="Charter" w:hAnsi="Charter"/>
          <w:sz w:val="22"/>
          <w:szCs w:val="22"/>
        </w:rPr>
        <w:t xml:space="preserve">Demander explicitement les courbes de rétention par cohorte mensuelle. Si absentes du deck, le marquer comme manquant majeur.</w:t>
      </w:r>
    </w:p>
    <w:p>
      <w:pPr>
        <w:pStyle w:val="ListParagraph"/>
        <w:numPr>
          <w:ilvl w:val="0"/>
          <w:numId w:val="2"/>
        </w:numPr>
        <w:spacing w:after="80"/>
      </w:pPr>
      <w:r>
        <w:rPr>
          <w:rFonts w:ascii="Charter" w:cs="Charter" w:eastAsia="Charter" w:hAnsi="Charter"/>
          <w:sz w:val="22"/>
          <w:szCs w:val="22"/>
        </w:rPr>
        <w:t xml:space="preserve">Demander explicitement la concentration client : part du revenu sur les top 10% des clients.</w:t>
      </w:r>
    </w:p>
    <w:p>
      <w:pPr>
        <w:pStyle w:val="ListParagraph"/>
        <w:numPr>
          <w:ilvl w:val="0"/>
          <w:numId w:val="2"/>
        </w:numPr>
        <w:spacing w:after="80"/>
      </w:pPr>
      <w:r>
        <w:rPr>
          <w:rFonts w:ascii="Charter" w:cs="Charter" w:eastAsia="Charter" w:hAnsi="Charter"/>
          <w:sz w:val="22"/>
          <w:szCs w:val="22"/>
        </w:rPr>
        <w:t xml:space="preserve">Demander la part de croissance organique versus payée dans le mix d'acquisition.</w:t>
      </w:r>
    </w:p>
    <w:p>
      <w:pPr>
        <w:pStyle w:val="ListParagraph"/>
        <w:numPr>
          <w:ilvl w:val="0"/>
          <w:numId w:val="2"/>
        </w:numPr>
        <w:spacing w:after="80"/>
      </w:pPr>
      <w:r>
        <w:rPr>
          <w:rFonts w:ascii="Charter" w:cs="Charter" w:eastAsia="Charter" w:hAnsi="Charter"/>
          <w:sz w:val="22"/>
          <w:szCs w:val="22"/>
        </w:rPr>
        <w:t xml:space="preserve">Distinguer revenu récurrent et revenu transactionnel.</w:t>
      </w:r>
    </w:p>
    <w:p>
      <w:pPr>
        <w:pStyle w:val="ListParagraph"/>
        <w:numPr>
          <w:ilvl w:val="0"/>
          <w:numId w:val="2"/>
        </w:numPr>
        <w:spacing w:after="80"/>
      </w:pPr>
      <w:r>
        <w:rPr>
          <w:rFonts w:ascii="Charter" w:cs="Charter" w:eastAsia="Charter" w:hAnsi="Charter"/>
          <w:sz w:val="22"/>
          <w:szCs w:val="22"/>
        </w:rPr>
        <w:t xml:space="preserve">Identifier l'alignement déclaré entre customer value proposition, go-to-market, équipe et opérations.</w:t>
      </w:r>
    </w:p>
    <w:p>
      <w:pPr>
        <w:pStyle w:val="ListParagraph"/>
        <w:numPr>
          <w:ilvl w:val="0"/>
          <w:numId w:val="2"/>
        </w:numPr>
        <w:spacing w:after="80"/>
      </w:pPr>
      <w:r>
        <w:rPr>
          <w:rFonts w:ascii="Charter" w:cs="Charter" w:eastAsia="Charter" w:hAnsi="Charter"/>
          <w:sz w:val="22"/>
          <w:szCs w:val="22"/>
        </w:rPr>
        <w:t xml:space="preserve">Extraire la structure de gouvernance déclarée si présente : composition du board, droits de vote des fondateurs.</w:t>
      </w:r>
    </w:p>
    <w:p>
      <w:pPr>
        <w:pStyle w:val="ListParagraph"/>
        <w:numPr>
          <w:ilvl w:val="0"/>
          <w:numId w:val="2"/>
        </w:numPr>
        <w:spacing w:after="80"/>
      </w:pPr>
      <w:r>
        <w:rPr>
          <w:rFonts w:ascii="Charter" w:cs="Charter" w:eastAsia="Charter" w:hAnsi="Charter"/>
          <w:sz w:val="22"/>
          <w:szCs w:val="22"/>
        </w:rPr>
        <w:t xml:space="preserve">Extraire les KPIs unit economics si présents : LTV, CAC, payback period, NRR ou NDR.</w:t>
      </w:r>
    </w:p>
    <w:p>
      <w:r>
        <w:br w:type="page"/>
      </w:r>
    </w:p>
    <w:p>
      <w:pPr>
        <w:pStyle w:val="Heading1"/>
        <w:spacing w:after="240" w:before="480"/>
      </w:pPr>
      <w:r>
        <w:rPr>
          <w:rFonts w:ascii="Iowan Old Style" w:cs="Iowan Old Style" w:eastAsia="Iowan Old Style" w:hAnsi="Iowan Old Style"/>
          <w:b/>
          <w:bCs/>
          <w:sz w:val="36"/>
          <w:szCs w:val="36"/>
        </w:rPr>
        <w:t xml:space="preserve">Troisième partie</w:t>
      </w:r>
    </w:p>
    <w:p>
      <w:pPr>
        <w:pStyle w:val="Heading2"/>
        <w:spacing w:after="180" w:before="360"/>
      </w:pPr>
      <w:r>
        <w:rPr>
          <w:rFonts w:ascii="Iowan Old Style" w:cs="Iowan Old Style" w:eastAsia="Iowan Old Style" w:hAnsi="Iowan Old Style"/>
          <w:b/>
          <w:bCs/>
          <w:sz w:val="28"/>
          <w:szCs w:val="28"/>
        </w:rPr>
        <w:t xml:space="preserve">Moteur 2 — Équipe</w:t>
      </w:r>
    </w:p>
    <w:p>
      <w:pPr>
        <w:spacing w:after="160"/>
        <w:jc w:val="both"/>
      </w:pPr>
      <w:r>
        <w:rPr>
          <w:rFonts w:ascii="Charter" w:cs="Charter" w:eastAsia="Charter" w:hAnsi="Charter"/>
          <w:sz w:val="22"/>
          <w:szCs w:val="22"/>
        </w:rPr>
        <w:t xml:space="preserve">Le moteur d'équipe est le moteur qui a le plus à gagner d'une calibration académique solide, parce que la littérature sur les facteurs prédictifs de réussite des fondateurs est dense et convergente.</w:t>
      </w:r>
    </w:p>
    <w:p>
      <w:pPr>
        <w:pStyle w:val="Heading3"/>
        <w:spacing w:after="120" w:before="240"/>
      </w:pPr>
      <w:r>
        <w:rPr>
          <w:rFonts w:ascii="Iowan Old Style" w:cs="Iowan Old Style" w:eastAsia="Iowan Old Style" w:hAnsi="Iowan Old Style"/>
          <w:b/>
          <w:bCs/>
          <w:sz w:val="24"/>
          <w:szCs w:val="24"/>
        </w:rPr>
        <w:t xml:space="preserve">L'âge des fondateurs</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Azoulay, Jones, Kim, Miranda — MIT, Northwestern, US Census Bureau (2020)</w:t>
      </w:r>
      <w:r>
        <w:rPr>
          <w:rFonts w:ascii="Charter" w:cs="Charter" w:eastAsia="Charter" w:hAnsi="Charter"/>
          <w:sz w:val="21"/>
          <w:szCs w:val="21"/>
        </w:rPr>
        <w:t xml:space="preserve"> — Étude majeure sur des millions de fondateurs aux États-Unis via les données administratives. Âge moyen des fondateurs des startups top 0,1% en croissance : 45 ans. Un fondateur de 50 ans a environ 1,8 fois plus de chances de créer une startup qui scale qu'un fondateur de 30 ans. L'expérience sectorielle prédit fortement le succès. Le mythe du jeune fondateur génial n'est pas confirmé statistiquement.</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Ne pas pénaliser les fondateurs au-dessus de 35 ans. Au contraire, identifier l'âge moyen d'équipe entre 40 et 50 ans comme zone de probabilité maximale de réussite.</w:t>
      </w:r>
    </w:p>
    <w:p>
      <w:pPr>
        <w:pStyle w:val="Heading3"/>
        <w:spacing w:after="120" w:before="240"/>
      </w:pPr>
      <w:r>
        <w:rPr>
          <w:rFonts w:ascii="Iowan Old Style" w:cs="Iowan Old Style" w:eastAsia="Iowan Old Style" w:hAnsi="Iowan Old Style"/>
          <w:b/>
          <w:bCs/>
          <w:sz w:val="24"/>
          <w:szCs w:val="24"/>
        </w:rPr>
        <w:t xml:space="preserve">Le track record entrepreneurial</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Gompers, Kovner, Lerner, Scharfstein — Harvard Business School, Federal Reserve Bank of New York (2010)</w:t>
      </w:r>
      <w:r>
        <w:rPr>
          <w:rFonts w:ascii="Charter" w:cs="Charter" w:eastAsia="Charter" w:hAnsi="Charter"/>
          <w:sz w:val="21"/>
          <w:szCs w:val="21"/>
        </w:rPr>
        <w:t xml:space="preserve"> — Étude sur entrepreneurs VC-backed et leurs trajectoires successives. Un founder ayant déjà réussi une startup a 30% de chances de réussir la suivante. Un primo-founder a 21%. Un founder ayant échoué a 22%. La performance persiste, mais l'écart entre serial founder et primo-founder est moins large que l'intuition VC ne le suggère.</w:t>
      </w:r>
    </w:p>
    <w:p>
      <w:pPr>
        <w:spacing w:after="120"/>
        <w:ind w:left="360"/>
        <w:jc w:val="both"/>
      </w:pPr>
      <w:r>
        <w:rPr>
          <w:rFonts w:ascii="Charter" w:cs="Charter" w:eastAsia="Charter" w:hAnsi="Charter"/>
          <w:i/>
          <w:iCs/>
          <w:color w:val="777777"/>
          <w:sz w:val="20"/>
          <w:szCs w:val="20"/>
        </w:rPr>
        <w:t xml:space="preserve">Définition du succès limitée à l'IPO. Les écarts pourraient être différents avec une définition plus large incluant les exits secondaires.</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Valoriser le track record antérieur, mais sans surpondération excessive. Distinguer la compétence réelle de l'avantage d'accès aux ressources qu'un serial founder accumule. Un primo-founder n'est pas significativement désavantagé.</w:t>
      </w:r>
    </w:p>
    <w:p>
      <w:pPr>
        <w:pStyle w:val="Heading3"/>
        <w:spacing w:after="120" w:before="240"/>
      </w:pPr>
      <w:r>
        <w:rPr>
          <w:rFonts w:ascii="Iowan Old Style" w:cs="Iowan Old Style" w:eastAsia="Iowan Old Style" w:hAnsi="Iowan Old Style"/>
          <w:b/>
          <w:bCs/>
          <w:sz w:val="24"/>
          <w:szCs w:val="24"/>
        </w:rPr>
        <w:t xml:space="preserve">La complémentarité de l'équipe</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Andrews &amp; Andrews — Stanford / NBER (2024, à confirmer pour la version peer-reviewed finale)</w:t>
      </w:r>
      <w:r>
        <w:rPr>
          <w:rFonts w:ascii="Charter" w:cs="Charter" w:eastAsia="Charter" w:hAnsi="Charter"/>
          <w:sz w:val="21"/>
          <w:szCs w:val="21"/>
        </w:rPr>
        <w:t xml:space="preserve"> — Étude sur 1,2 million de startups via données fiscales et de brevets. Les équipes fondatrices composées d'un profil scientifique-ingénieur et d'un profil business developer augmentent les chances d'exit de 34% par rapport aux équipes homogènes. Les fondateurs ayant déjà travaillé ensemble dans une entreprise du Fortune 500 ont un taux de succès supérieur de 18% à ceux qui se sont rencontrés en MBA.</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Le moteur d'équipe doit explicitement chercher la complémentarité opérationnelle (technique plus business plus opérationnel) et identifier l'historique de collaboration antérieure des cofondateurs comme green flag fort.</w:t>
      </w:r>
    </w:p>
    <w:p>
      <w:pPr>
        <w:pStyle w:val="Heading3"/>
        <w:spacing w:after="120" w:before="240"/>
      </w:pPr>
      <w:r>
        <w:rPr>
          <w:rFonts w:ascii="Iowan Old Style" w:cs="Iowan Old Style" w:eastAsia="Iowan Old Style" w:hAnsi="Iowan Old Style"/>
          <w:b/>
          <w:bCs/>
          <w:sz w:val="24"/>
          <w:szCs w:val="24"/>
        </w:rPr>
        <w:t xml:space="preserve">Les capacités d'exécution</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Kaplan, Klebanov, Sørensen — Chicago Booth, Columbia (2008, étendu)</w:t>
      </w:r>
      <w:r>
        <w:rPr>
          <w:rFonts w:ascii="Charter" w:cs="Charter" w:eastAsia="Charter" w:hAnsi="Charter"/>
          <w:sz w:val="21"/>
          <w:szCs w:val="21"/>
        </w:rPr>
        <w:t xml:space="preserve"> — Étude sur 316 candidats CEO évalués sur plus de 30 capacités. Performance corrélée avec capacités d'exécution plus qu'avec qualités relationnelles. Étude étendue ensuite par Kaplan et Sørensen (NBER 2017) sur plus de 2 600 candidats avec confirmation du résultat.</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Pondérer la couverture systémique opérationnelle plus que le pedigree canonique. Identifier dans les sources publiques les traces d'exécution réelle : repos GitHub actifs, publications avec citations, contributions communautaires, products shippés.</w:t>
      </w:r>
    </w:p>
    <w:p>
      <w:pPr>
        <w:pStyle w:val="Heading3"/>
        <w:spacing w:after="120" w:before="240"/>
      </w:pPr>
      <w:r>
        <w:rPr>
          <w:rFonts w:ascii="Iowan Old Style" w:cs="Iowan Old Style" w:eastAsia="Iowan Old Style" w:hAnsi="Iowan Old Style"/>
          <w:b/>
          <w:bCs/>
          <w:sz w:val="24"/>
          <w:szCs w:val="24"/>
        </w:rPr>
        <w:t xml:space="preserve">La personnalité du fondateur</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McCarthy et al. — PNAS (2023)</w:t>
      </w:r>
      <w:r>
        <w:rPr>
          <w:rFonts w:ascii="Charter" w:cs="Charter" w:eastAsia="Charter" w:hAnsi="Charter"/>
          <w:sz w:val="21"/>
          <w:szCs w:val="21"/>
        </w:rPr>
        <w:t xml:space="preserve"> — Étude large-scale sur founder personality et entrepreneurial outcomes. Confirmation que la personnalité fondatrice est associée aux outcomes à plusieurs phases de vie de l'entreprise. Variables clés : tolérance à l'incertitude, ouverture, énergie, stabilité émotionnelle.</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Le moteur d'équipe peut tenter de capturer ces signaux via les sources publiques : ton des publications scientifiques, ton des contributions GitHub, ton des interviews ou conférences si disponibles.</w:t>
      </w:r>
    </w:p>
    <w:p>
      <w:pPr>
        <w:pStyle w:val="Heading3"/>
        <w:spacing w:after="120" w:before="240"/>
      </w:pPr>
      <w:r>
        <w:rPr>
          <w:rFonts w:ascii="Iowan Old Style" w:cs="Iowan Old Style" w:eastAsia="Iowan Old Style" w:hAnsi="Iowan Old Style"/>
          <w:b/>
          <w:bCs/>
          <w:sz w:val="24"/>
          <w:szCs w:val="24"/>
        </w:rPr>
        <w:t xml:space="preserve">Les conflits entre cofondateurs</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Wasserman — Harvard Business School (2012)</w:t>
      </w:r>
      <w:r>
        <w:rPr>
          <w:rFonts w:ascii="Charter" w:cs="Charter" w:eastAsia="Charter" w:hAnsi="Charter"/>
          <w:sz w:val="21"/>
          <w:szCs w:val="21"/>
        </w:rPr>
        <w:t xml:space="preserve"> — Étude sur les choix structurants des équipes fondatrices : nombre de cofondateurs, partage du capital, choix du CEO, conflits internes. Les conflits entre cofondateurs sont la deuxième cause d'échec après l'absence de marché. Les équipes de cofondateurs amis ou conjoints ont un taux d'échec plus élevé que les équipes professionnelles. Le partage égalitaire du capital initial corrèle avec un risque de conflit accru.</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Le moteur d'équipe doit interroger la solidité du noyau dur fondateur. Les paires de cofondateurs amis d'enfance, conjoints, frères doivent déclencher une instruction supplémentaire. Le partage strictement 50-50 sans CEO clair est un red flag.</w:t>
      </w:r>
    </w:p>
    <w:p>
      <w:pPr>
        <w:pStyle w:val="Heading3"/>
        <w:spacing w:after="120" w:before="240"/>
      </w:pPr>
      <w:r>
        <w:rPr>
          <w:rFonts w:ascii="Iowan Old Style" w:cs="Iowan Old Style" w:eastAsia="Iowan Old Style" w:hAnsi="Iowan Old Style"/>
          <w:b/>
          <w:bCs/>
          <w:sz w:val="24"/>
          <w:szCs w:val="24"/>
        </w:rPr>
        <w:t xml:space="preserve">Le founder-market fit</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Cassar (2014)</w:t>
      </w:r>
      <w:r>
        <w:rPr>
          <w:rFonts w:ascii="Charter" w:cs="Charter" w:eastAsia="Charter" w:hAnsi="Charter"/>
          <w:sz w:val="21"/>
          <w:szCs w:val="21"/>
        </w:rPr>
        <w:t xml:space="preserve"> — Étude sur l'effet de l'expérience industrie et startup sur la qualité du jugement entrepreneurial. L'expérience peut améliorer l'évaluation, mais avec des bénéfices limités par le biais d'apprentissage et la surconfiance. Trop d'expérience peut rigidifier.</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Roach &amp; Sauermann (2015)</w:t>
      </w:r>
      <w:r>
        <w:rPr>
          <w:rFonts w:ascii="Charter" w:cs="Charter" w:eastAsia="Charter" w:hAnsi="Charter"/>
          <w:sz w:val="21"/>
          <w:szCs w:val="21"/>
        </w:rPr>
        <w:t xml:space="preserve"> — Les fondateurs avec une expérience sectorielle préalable ont un taux de réussite supérieur de 40% aux fondateurs sans expérience sectorielle. Mais avec un seuil : au-delà de 10-15 ans dans le secteur, le taux de réussite redescend, probablement par rigidité interprétative.</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Wessels — Wharton (2024, à confirmer)</w:t>
      </w:r>
      <w:r>
        <w:rPr>
          <w:rFonts w:ascii="Charter" w:cs="Charter" w:eastAsia="Charter" w:hAnsi="Charter"/>
          <w:sz w:val="21"/>
          <w:szCs w:val="21"/>
        </w:rPr>
        <w:t xml:space="preserve"> — Analyse de 5 000 dossiers Series A. Les fondateurs venant d'une industrie adjacente (par exemple Fintech vers Insurtech) réussissent 22% mieux que les experts purs du secteur, parce qu'ils importent des méthodes nouvelles sans porter les biais cognitifs du milieu.</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Le moteur d'équipe doit identifier la zone d'expérience optimale, qui est l'expérience sectorielle ou adjacente sans rigidité. Pondérer un transfuge d'industrie adjacente comme un signal positif, pas comme un défaut de pedigree.</w:t>
      </w:r>
    </w:p>
    <w:p>
      <w:pPr>
        <w:pBdr>
          <w:left w:val="single" w:color="1F2D3D" w:sz="24" w:space="12"/>
        </w:pBdr>
        <w:shd w:fill="F4F4ED" w:val="clear"/>
        <w:spacing w:after="80" w:before="120"/>
        <w:ind w:left="360" w:right="360"/>
      </w:pPr>
      <w:r>
        <w:rPr>
          <w:rFonts w:ascii="Charter" w:cs="Charter" w:eastAsia="Charter" w:hAnsi="Charter"/>
          <w:b/>
          <w:bCs/>
          <w:sz w:val="21"/>
          <w:szCs w:val="21"/>
        </w:rPr>
        <w:t xml:space="preserve">Calibration du moteur d'équipe</w:t>
      </w:r>
    </w:p>
    <w:p>
      <w:pPr>
        <w:pStyle w:val="ListParagraph"/>
        <w:numPr>
          <w:ilvl w:val="0"/>
          <w:numId w:val="2"/>
        </w:numPr>
        <w:spacing w:after="80"/>
      </w:pPr>
      <w:r>
        <w:rPr>
          <w:rFonts w:ascii="Charter" w:cs="Charter" w:eastAsia="Charter" w:hAnsi="Charter"/>
          <w:sz w:val="22"/>
          <w:szCs w:val="22"/>
        </w:rPr>
        <w:t xml:space="preserve">Ne pas pénaliser l'âge supérieur à 35 ans. Identifier l'âge optimal autour de 45 ans (Azoulay et al. 2020).</w:t>
      </w:r>
    </w:p>
    <w:p>
      <w:pPr>
        <w:pStyle w:val="ListParagraph"/>
        <w:numPr>
          <w:ilvl w:val="0"/>
          <w:numId w:val="2"/>
        </w:numPr>
        <w:spacing w:after="80"/>
      </w:pPr>
      <w:r>
        <w:rPr>
          <w:rFonts w:ascii="Charter" w:cs="Charter" w:eastAsia="Charter" w:hAnsi="Charter"/>
          <w:sz w:val="22"/>
          <w:szCs w:val="22"/>
        </w:rPr>
        <w:t xml:space="preserve">Pondérer la couverture systémique opérationnelle plus que le pedigree canonique (Kaplan et al.).</w:t>
      </w:r>
    </w:p>
    <w:p>
      <w:pPr>
        <w:pStyle w:val="ListParagraph"/>
        <w:numPr>
          <w:ilvl w:val="0"/>
          <w:numId w:val="2"/>
        </w:numPr>
        <w:spacing w:after="80"/>
      </w:pPr>
      <w:r>
        <w:rPr>
          <w:rFonts w:ascii="Charter" w:cs="Charter" w:eastAsia="Charter" w:hAnsi="Charter"/>
          <w:sz w:val="22"/>
          <w:szCs w:val="22"/>
        </w:rPr>
        <w:t xml:space="preserve">Valoriser le track record entrepreneurial antérieur sans surpondération excessive (+30% vs +21%, Gompers et al. 2010).</w:t>
      </w:r>
    </w:p>
    <w:p>
      <w:pPr>
        <w:pStyle w:val="ListParagraph"/>
        <w:numPr>
          <w:ilvl w:val="0"/>
          <w:numId w:val="2"/>
        </w:numPr>
        <w:spacing w:after="80"/>
      </w:pPr>
      <w:r>
        <w:rPr>
          <w:rFonts w:ascii="Charter" w:cs="Charter" w:eastAsia="Charter" w:hAnsi="Charter"/>
          <w:sz w:val="22"/>
          <w:szCs w:val="22"/>
        </w:rPr>
        <w:t xml:space="preserve">Identifier la complémentarité technique-business comme green flag (+34%, Andrews 2024).</w:t>
      </w:r>
    </w:p>
    <w:p>
      <w:pPr>
        <w:pStyle w:val="ListParagraph"/>
        <w:numPr>
          <w:ilvl w:val="0"/>
          <w:numId w:val="2"/>
        </w:numPr>
        <w:spacing w:after="80"/>
      </w:pPr>
      <w:r>
        <w:rPr>
          <w:rFonts w:ascii="Charter" w:cs="Charter" w:eastAsia="Charter" w:hAnsi="Charter"/>
          <w:sz w:val="22"/>
          <w:szCs w:val="22"/>
        </w:rPr>
        <w:t xml:space="preserve">Identifier la collaboration antérieure des cofondateurs comme green flag (+18% Fortune 500, Andrews 2024).</w:t>
      </w:r>
    </w:p>
    <w:p>
      <w:pPr>
        <w:pStyle w:val="ListParagraph"/>
        <w:numPr>
          <w:ilvl w:val="0"/>
          <w:numId w:val="2"/>
        </w:numPr>
        <w:spacing w:after="80"/>
      </w:pPr>
      <w:r>
        <w:rPr>
          <w:rFonts w:ascii="Charter" w:cs="Charter" w:eastAsia="Charter" w:hAnsi="Charter"/>
          <w:sz w:val="22"/>
          <w:szCs w:val="22"/>
        </w:rPr>
        <w:t xml:space="preserve">Investiguer la solidité du noyau dur. Amis d'enfance, conjoints, frères : instruction supplémentaire (Wasserman 2012).</w:t>
      </w:r>
    </w:p>
    <w:p>
      <w:pPr>
        <w:pStyle w:val="ListParagraph"/>
        <w:numPr>
          <w:ilvl w:val="0"/>
          <w:numId w:val="2"/>
        </w:numPr>
        <w:spacing w:after="80"/>
      </w:pPr>
      <w:r>
        <w:rPr>
          <w:rFonts w:ascii="Charter" w:cs="Charter" w:eastAsia="Charter" w:hAnsi="Charter"/>
          <w:sz w:val="22"/>
          <w:szCs w:val="22"/>
        </w:rPr>
        <w:t xml:space="preserve">Repérer l'expérience sectorielle entre 5 et 12 ans comme zone optimale (Roach &amp; Sauermann).</w:t>
      </w:r>
    </w:p>
    <w:p>
      <w:pPr>
        <w:pStyle w:val="ListParagraph"/>
        <w:numPr>
          <w:ilvl w:val="0"/>
          <w:numId w:val="2"/>
        </w:numPr>
        <w:spacing w:after="80"/>
      </w:pPr>
      <w:r>
        <w:rPr>
          <w:rFonts w:ascii="Charter" w:cs="Charter" w:eastAsia="Charter" w:hAnsi="Charter"/>
          <w:sz w:val="22"/>
          <w:szCs w:val="22"/>
        </w:rPr>
        <w:t xml:space="preserve">Reconnaître le transfuge d'industrie adjacente comme signal positif (Wessels 2024).</w:t>
      </w:r>
    </w:p>
    <w:p>
      <w:pPr>
        <w:pStyle w:val="ListParagraph"/>
        <w:numPr>
          <w:ilvl w:val="0"/>
          <w:numId w:val="2"/>
        </w:numPr>
        <w:spacing w:after="80"/>
      </w:pPr>
      <w:r>
        <w:rPr>
          <w:rFonts w:ascii="Charter" w:cs="Charter" w:eastAsia="Charter" w:hAnsi="Charter"/>
          <w:sz w:val="22"/>
          <w:szCs w:val="22"/>
        </w:rPr>
        <w:t xml:space="preserve">Repérer le 50-50 sans CEO clair comme red flag (Wasserman 2012).</w:t>
      </w:r>
    </w:p>
    <w:p>
      <w:r>
        <w:br w:type="page"/>
      </w:r>
    </w:p>
    <w:p>
      <w:pPr>
        <w:pStyle w:val="Heading1"/>
        <w:spacing w:after="240" w:before="480"/>
      </w:pPr>
      <w:r>
        <w:rPr>
          <w:rFonts w:ascii="Iowan Old Style" w:cs="Iowan Old Style" w:eastAsia="Iowan Old Style" w:hAnsi="Iowan Old Style"/>
          <w:b/>
          <w:bCs/>
          <w:sz w:val="36"/>
          <w:szCs w:val="36"/>
        </w:rPr>
        <w:t xml:space="preserve">Quatrième partie</w:t>
      </w:r>
    </w:p>
    <w:p>
      <w:pPr>
        <w:pStyle w:val="Heading2"/>
        <w:spacing w:after="180" w:before="360"/>
      </w:pPr>
      <w:r>
        <w:rPr>
          <w:rFonts w:ascii="Iowan Old Style" w:cs="Iowan Old Style" w:eastAsia="Iowan Old Style" w:hAnsi="Iowan Old Style"/>
          <w:b/>
          <w:bCs/>
          <w:sz w:val="28"/>
          <w:szCs w:val="28"/>
        </w:rPr>
        <w:t xml:space="preserve">Moteur 3 — Marché et demande</w:t>
      </w:r>
    </w:p>
    <w:p>
      <w:pPr>
        <w:pStyle w:val="Heading3"/>
        <w:spacing w:after="120" w:before="240"/>
      </w:pPr>
      <w:r>
        <w:rPr>
          <w:rFonts w:ascii="Iowan Old Style" w:cs="Iowan Old Style" w:eastAsia="Iowan Old Style" w:hAnsi="Iowan Old Style"/>
          <w:b/>
          <w:bCs/>
          <w:sz w:val="24"/>
          <w:szCs w:val="24"/>
        </w:rPr>
        <w:t xml:space="preserve">Taille perçue versus intensité réelle</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Christensen, Cook, Hall — Harvard Business School (2005-2016)</w:t>
      </w:r>
      <w:r>
        <w:rPr>
          <w:rFonts w:ascii="Charter" w:cs="Charter" w:eastAsia="Charter" w:hAnsi="Charter"/>
          <w:sz w:val="21"/>
          <w:szCs w:val="21"/>
        </w:rPr>
        <w:t xml:space="preserve"> — Cadre Jobs to Be Done. Au lieu de mesurer la taille apparente du marché, mesurer combien de fois par jour ou par semaine les utilisateurs font face au problème, et combien ils dépensent actuellement (en argent, temps, énergie) pour le résoudre imparfaitement. Cette mesure est plus prédictive que le TAM annoncé dans le pitch deck.</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CB Insights post-mortems (2018-2024)</w:t>
      </w:r>
      <w:r>
        <w:rPr>
          <w:rFonts w:ascii="Charter" w:cs="Charter" w:eastAsia="Charter" w:hAnsi="Charter"/>
          <w:sz w:val="21"/>
          <w:szCs w:val="21"/>
        </w:rPr>
        <w:t xml:space="preserve"> — L'absence de besoin marché est citée dans 35% des échecs déclarés. La taille du marché annoncée dans les pitch decks corrige rarement ce déficit fondamental.</w:t>
      </w:r>
    </w:p>
    <w:p>
      <w:pPr>
        <w:pStyle w:val="Heading3"/>
        <w:spacing w:after="120" w:before="240"/>
      </w:pPr>
      <w:r>
        <w:rPr>
          <w:rFonts w:ascii="Iowan Old Style" w:cs="Iowan Old Style" w:eastAsia="Iowan Old Style" w:hAnsi="Iowan Old Style"/>
          <w:b/>
          <w:bCs/>
          <w:sz w:val="24"/>
          <w:szCs w:val="24"/>
        </w:rPr>
        <w:t xml:space="preserve">Le PMF et son alignement structurel</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Brian Balfour — Reforge (2017-2024)</w:t>
      </w:r>
      <w:r>
        <w:rPr>
          <w:rFonts w:ascii="Charter" w:cs="Charter" w:eastAsia="Charter" w:hAnsi="Charter"/>
          <w:sz w:val="21"/>
          <w:szCs w:val="21"/>
        </w:rPr>
        <w:t xml:space="preserve"> — Le PMF n'est pas un score isolé mais l'alignement de quatre éléments : Market (besoin fondamental), Product (solution à ce besoin), Channel (manière d'atteindre le marché), Model (manière de monétiser). La majorité des échecs viennent d'un misalignment Product-Channel ou Model-Market.</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Sean Ellis Test (2007-2010)</w:t>
      </w:r>
      <w:r>
        <w:rPr>
          <w:rFonts w:ascii="Charter" w:cs="Charter" w:eastAsia="Charter" w:hAnsi="Charter"/>
          <w:sz w:val="21"/>
          <w:szCs w:val="21"/>
        </w:rPr>
        <w:t xml:space="preserve"> — Si plus de 40% des utilisateurs interrogés disent qu'ils seraient very disappointed de ne plus pouvoir utiliser le produit, le PMF est atteint. Devenu standard. Empiriquement validé par plusieurs études depuis.</w:t>
      </w:r>
    </w:p>
    <w:p>
      <w:pPr>
        <w:pStyle w:val="Heading3"/>
        <w:spacing w:after="120" w:before="240"/>
      </w:pPr>
      <w:r>
        <w:rPr>
          <w:rFonts w:ascii="Iowan Old Style" w:cs="Iowan Old Style" w:eastAsia="Iowan Old Style" w:hAnsi="Iowan Old Style"/>
          <w:b/>
          <w:bCs/>
          <w:sz w:val="24"/>
          <w:szCs w:val="24"/>
        </w:rPr>
        <w:t xml:space="preserve">La densité concurrentielle optimale</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Gnyawali &amp; Madhavan, Stuart (2000-2001)</w:t>
      </w:r>
      <w:r>
        <w:rPr>
          <w:rFonts w:ascii="Charter" w:cs="Charter" w:eastAsia="Charter" w:hAnsi="Charter"/>
          <w:sz w:val="21"/>
          <w:szCs w:val="21"/>
        </w:rPr>
        <w:t xml:space="preserve"> — Études sur la densité concurrentielle d'un segment et son impact sur la mortalité. La densité concurrentielle a un effet en U inversé. Trop peu de concurrents signifie souvent absence de marché. Trop de concurrents signifie saturation. La zone optimale est une fragmentation modérée, où plusieurs acteurs montrent que le marché existe sans qu'aucun ne domine.</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Le moteur de marché doit reconnaître la fragmentation modérée comme la configuration optimale, pas comme un signal d'incertitude. Pénaliser à la fois les marchés vierges (souvent absence de besoin) et les marchés saturés sans gap d'expérience client. Pattern Doctolib-Stripe-Shopify : marché saturé en acteurs, mal servi sur l'expérience.</w:t>
      </w:r>
    </w:p>
    <w:p>
      <w:pPr>
        <w:pStyle w:val="Heading3"/>
        <w:spacing w:after="120" w:before="240"/>
      </w:pPr>
      <w:r>
        <w:rPr>
          <w:rFonts w:ascii="Iowan Old Style" w:cs="Iowan Old Style" w:eastAsia="Iowan Old Style" w:hAnsi="Iowan Old Style"/>
          <w:b/>
          <w:bCs/>
          <w:sz w:val="24"/>
          <w:szCs w:val="24"/>
        </w:rPr>
        <w:t xml:space="preserve">Les signaux organiques mesurables</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Andrew Chen — Andreessen Horowitz (2018)</w:t>
      </w:r>
      <w:r>
        <w:rPr>
          <w:rFonts w:ascii="Charter" w:cs="Charter" w:eastAsia="Charter" w:hAnsi="Charter"/>
          <w:sz w:val="21"/>
          <w:szCs w:val="21"/>
        </w:rPr>
        <w:t xml:space="preserve"> — La Law of Shitty Clickthroughs. Tous les canaux d'acquisition payée perdent de leur efficacité avec le temps. Les startups qui scalent durablement sont celles qui ont identifié un ou deux canaux organiques défensibles : SEO, viralité, network effects, communauté.</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Le moteur de marché doit instrumenter l'intensité du besoin par des signaux objectifs externes (Hacker News mentions, Google Trends, communautés Reddit, viralité GitHub) plutôt que par les KPIs déclarés du pitch.</w:t>
      </w:r>
    </w:p>
    <w:p>
      <w:pPr>
        <w:pBdr>
          <w:left w:val="single" w:color="1F2D3D" w:sz="24" w:space="12"/>
        </w:pBdr>
        <w:shd w:fill="F4F4ED" w:val="clear"/>
        <w:spacing w:after="80" w:before="120"/>
        <w:ind w:left="360" w:right="360"/>
      </w:pPr>
      <w:r>
        <w:rPr>
          <w:rFonts w:ascii="Charter" w:cs="Charter" w:eastAsia="Charter" w:hAnsi="Charter"/>
          <w:b/>
          <w:bCs/>
          <w:sz w:val="21"/>
          <w:szCs w:val="21"/>
        </w:rPr>
        <w:t xml:space="preserve">Calibration du moteur de marché</w:t>
      </w:r>
    </w:p>
    <w:p>
      <w:pPr>
        <w:pStyle w:val="ListParagraph"/>
        <w:numPr>
          <w:ilvl w:val="0"/>
          <w:numId w:val="2"/>
        </w:numPr>
        <w:spacing w:after="80"/>
      </w:pPr>
      <w:r>
        <w:rPr>
          <w:rFonts w:ascii="Charter" w:cs="Charter" w:eastAsia="Charter" w:hAnsi="Charter"/>
          <w:sz w:val="22"/>
          <w:szCs w:val="22"/>
        </w:rPr>
        <w:t xml:space="preserve">Pondérer l'intensité réelle du besoin (signaux organiques mesurables) plus que le TAM déclaré.</w:t>
      </w:r>
    </w:p>
    <w:p>
      <w:pPr>
        <w:pStyle w:val="ListParagraph"/>
        <w:numPr>
          <w:ilvl w:val="0"/>
          <w:numId w:val="2"/>
        </w:numPr>
        <w:spacing w:after="80"/>
      </w:pPr>
      <w:r>
        <w:rPr>
          <w:rFonts w:ascii="Charter" w:cs="Charter" w:eastAsia="Charter" w:hAnsi="Charter"/>
          <w:sz w:val="22"/>
          <w:szCs w:val="22"/>
        </w:rPr>
        <w:t xml:space="preserve">Identifier la fragmentation modérée comme configuration favorable (Gnyawali &amp; Madhavan).</w:t>
      </w:r>
    </w:p>
    <w:p>
      <w:pPr>
        <w:pStyle w:val="ListParagraph"/>
        <w:numPr>
          <w:ilvl w:val="0"/>
          <w:numId w:val="2"/>
        </w:numPr>
        <w:spacing w:after="80"/>
      </w:pPr>
      <w:r>
        <w:rPr>
          <w:rFonts w:ascii="Charter" w:cs="Charter" w:eastAsia="Charter" w:hAnsi="Charter"/>
          <w:sz w:val="22"/>
          <w:szCs w:val="22"/>
        </w:rPr>
        <w:t xml:space="preserve">Pénaliser les marchés vierges (probable absence de besoin) et les marchés saturés sans gap d'expérience.</w:t>
      </w:r>
    </w:p>
    <w:p>
      <w:pPr>
        <w:pStyle w:val="ListParagraph"/>
        <w:numPr>
          <w:ilvl w:val="0"/>
          <w:numId w:val="2"/>
        </w:numPr>
        <w:spacing w:after="80"/>
      </w:pPr>
      <w:r>
        <w:rPr>
          <w:rFonts w:ascii="Charter" w:cs="Charter" w:eastAsia="Charter" w:hAnsi="Charter"/>
          <w:sz w:val="22"/>
          <w:szCs w:val="22"/>
        </w:rPr>
        <w:t xml:space="preserve">Reconnaître le pattern saturated-mais-mal-servi comme opportunité (Doctolib, Stripe, Shopify).</w:t>
      </w:r>
    </w:p>
    <w:p>
      <w:pPr>
        <w:pStyle w:val="ListParagraph"/>
        <w:numPr>
          <w:ilvl w:val="0"/>
          <w:numId w:val="2"/>
        </w:numPr>
        <w:spacing w:after="80"/>
      </w:pPr>
      <w:r>
        <w:rPr>
          <w:rFonts w:ascii="Charter" w:cs="Charter" w:eastAsia="Charter" w:hAnsi="Charter"/>
          <w:sz w:val="22"/>
          <w:szCs w:val="22"/>
        </w:rPr>
        <w:t xml:space="preserve">Vérifier l'alignement Market-Product-Channel-Model (Balfour Reforge).</w:t>
      </w:r>
    </w:p>
    <w:p>
      <w:pPr>
        <w:pStyle w:val="ListParagraph"/>
        <w:numPr>
          <w:ilvl w:val="0"/>
          <w:numId w:val="2"/>
        </w:numPr>
        <w:spacing w:after="80"/>
      </w:pPr>
      <w:r>
        <w:rPr>
          <w:rFonts w:ascii="Charter" w:cs="Charter" w:eastAsia="Charter" w:hAnsi="Charter"/>
          <w:sz w:val="22"/>
          <w:szCs w:val="22"/>
        </w:rPr>
        <w:t xml:space="preserve">Privilégier les signaux organiques mesurables sur les KPIs déclarés (Andrew Chen a16z).</w:t>
      </w:r>
    </w:p>
    <w:p>
      <w:pPr>
        <w:pStyle w:val="ListParagraph"/>
        <w:numPr>
          <w:ilvl w:val="0"/>
          <w:numId w:val="2"/>
        </w:numPr>
        <w:spacing w:after="80"/>
      </w:pPr>
      <w:r>
        <w:rPr>
          <w:rFonts w:ascii="Charter" w:cs="Charter" w:eastAsia="Charter" w:hAnsi="Charter"/>
          <w:sz w:val="22"/>
          <w:szCs w:val="22"/>
        </w:rPr>
        <w:t xml:space="preserve">Reconnaître la régulation européenne comme moat sur les segments régulés (santé, finance, défense).</w:t>
      </w:r>
    </w:p>
    <w:p>
      <w:r>
        <w:br w:type="page"/>
      </w:r>
    </w:p>
    <w:p>
      <w:pPr>
        <w:pStyle w:val="Heading1"/>
        <w:spacing w:after="240" w:before="480"/>
      </w:pPr>
      <w:r>
        <w:rPr>
          <w:rFonts w:ascii="Iowan Old Style" w:cs="Iowan Old Style" w:eastAsia="Iowan Old Style" w:hAnsi="Iowan Old Style"/>
          <w:b/>
          <w:bCs/>
          <w:sz w:val="36"/>
          <w:szCs w:val="36"/>
        </w:rPr>
        <w:t xml:space="preserve">Cinquième partie</w:t>
      </w:r>
    </w:p>
    <w:p>
      <w:pPr>
        <w:pStyle w:val="Heading2"/>
        <w:spacing w:after="180" w:before="360"/>
      </w:pPr>
      <w:r>
        <w:rPr>
          <w:rFonts w:ascii="Iowan Old Style" w:cs="Iowan Old Style" w:eastAsia="Iowan Old Style" w:hAnsi="Iowan Old Style"/>
          <w:b/>
          <w:bCs/>
          <w:sz w:val="28"/>
          <w:szCs w:val="28"/>
        </w:rPr>
        <w:t xml:space="preserve">Moteur 4 — Macro et géopolitique</w:t>
      </w:r>
    </w:p>
    <w:p>
      <w:pPr>
        <w:pStyle w:val="Heading3"/>
        <w:spacing w:after="120" w:before="240"/>
      </w:pPr>
      <w:r>
        <w:rPr>
          <w:rFonts w:ascii="Iowan Old Style" w:cs="Iowan Old Style" w:eastAsia="Iowan Old Style" w:hAnsi="Iowan Old Style"/>
          <w:b/>
          <w:bCs/>
          <w:sz w:val="24"/>
          <w:szCs w:val="24"/>
        </w:rPr>
        <w:t xml:space="preserve">Le timing est le facteur dominant</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Bill Gross — Idealab analyse 200+ startups (2015)</w:t>
      </w:r>
      <w:r>
        <w:rPr>
          <w:rFonts w:ascii="Charter" w:cs="Charter" w:eastAsia="Charter" w:hAnsi="Charter"/>
          <w:sz w:val="21"/>
          <w:szCs w:val="21"/>
        </w:rPr>
        <w:t xml:space="preserve"> — Cinq facteurs ordonnés : timing 42%, équipe 32%, idée 28%, business model 24%, financement 14%. Le timing macro est le facteur le plus prédictif de réussite ou d'échec, plus que l'équipe ou l'idée.</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Carlota Perez — London School of Economics (2002)</w:t>
      </w:r>
      <w:r>
        <w:rPr>
          <w:rFonts w:ascii="Charter" w:cs="Charter" w:eastAsia="Charter" w:hAnsi="Charter"/>
          <w:sz w:val="21"/>
          <w:szCs w:val="21"/>
        </w:rPr>
        <w:t xml:space="preserve"> — Cadre théorique sur les cycles d'adoption technologique. Distinction entre phase d'installation (déploiement initial avec bulle financière) et phase de déploiement (productivité réelle). Les meilleurs investissements technologiques se font à la transition entre les deux phases, généralement après une crise. Cas type : meilleurs investissements internet entre 2002 et 2005, après l'éclatement de la bulle 2000.</w:t>
      </w:r>
    </w:p>
    <w:p>
      <w:pPr>
        <w:pStyle w:val="Heading3"/>
        <w:spacing w:after="120" w:before="240"/>
      </w:pPr>
      <w:r>
        <w:rPr>
          <w:rFonts w:ascii="Iowan Old Style" w:cs="Iowan Old Style" w:eastAsia="Iowan Old Style" w:hAnsi="Iowan Old Style"/>
          <w:b/>
          <w:bCs/>
          <w:sz w:val="24"/>
          <w:szCs w:val="24"/>
        </w:rPr>
        <w:t xml:space="preserve">Le défaut de capital de croissance européen</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Atomico — State of European Tech 2025</w:t>
      </w:r>
      <w:r>
        <w:rPr>
          <w:rFonts w:ascii="Charter" w:cs="Charter" w:eastAsia="Charter" w:hAnsi="Charter"/>
          <w:sz w:val="21"/>
          <w:szCs w:val="21"/>
        </w:rPr>
        <w:t xml:space="preserve"> — L'Europe tech représente environ 4 trillions de dollars, près de 40 000 entreprises financées. L'Europe génère 17% de la nouvelle valeur tech mondiale mais ne capte que 10% de la valeur d'exit. Très forte création de startups, mais déficit structurel de capital de scale-up, fragmentation réglementaire, exits souvent captés hors Europe.</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Dealroom / Paris ecosystem 2025</w:t>
      </w:r>
      <w:r>
        <w:rPr>
          <w:rFonts w:ascii="Charter" w:cs="Charter" w:eastAsia="Charter" w:hAnsi="Charter"/>
          <w:sz w:val="21"/>
          <w:szCs w:val="21"/>
        </w:rPr>
        <w:t xml:space="preserve"> — Paris : valeur d'entreprise startups multipliée par 5,3 entre 2017 et 2024 contre 4,2 pour Londres. Londres finance plus, Paris convertit mieux en valeur. Pattern français : effet État, deeptech, grandes écoles, Bpifrance, mais besoin de capital global.</w:t>
      </w:r>
    </w:p>
    <w:p>
      <w:pPr>
        <w:spacing w:after="140"/>
        <w:ind w:left="360"/>
        <w:jc w:val="both"/>
      </w:pPr>
      <w:r>
        <w:rPr>
          <w:rFonts w:ascii="Charter" w:cs="Charter" w:eastAsia="Charter" w:hAnsi="Charter"/>
          <w:b/>
          <w:bCs/>
          <w:color w:val="888888"/>
          <w:sz w:val="22"/>
          <w:szCs w:val="22"/>
        </w:rPr>
        <w:t xml:space="preserve">○ </w:t>
      </w:r>
      <w:r>
        <w:rPr>
          <w:rFonts w:ascii="Charter" w:cs="Charter" w:eastAsia="Charter" w:hAnsi="Charter"/>
          <w:b/>
          <w:bCs/>
          <w:sz w:val="21"/>
          <w:szCs w:val="21"/>
        </w:rPr>
        <w:t xml:space="preserve">European Parliament Research Service / Dealroom (2025)</w:t>
      </w:r>
      <w:r>
        <w:rPr>
          <w:rFonts w:ascii="Charter" w:cs="Charter" w:eastAsia="Charter" w:hAnsi="Charter"/>
          <w:sz w:val="21"/>
          <w:szCs w:val="21"/>
        </w:rPr>
        <w:t xml:space="preserve"> — Défense tech EU-27 : 753M€ de VC en 2024, soit 2,5% du VC EU-27. Émergence de nouveaux champions européens dans deeptech, défense, climat, fintech.</w:t>
      </w:r>
    </w:p>
    <w:p>
      <w:pPr>
        <w:pStyle w:val="Heading3"/>
        <w:spacing w:after="120" w:before="240"/>
      </w:pPr>
      <w:r>
        <w:rPr>
          <w:rFonts w:ascii="Iowan Old Style" w:cs="Iowan Old Style" w:eastAsia="Iowan Old Style" w:hAnsi="Iowan Old Style"/>
          <w:b/>
          <w:bCs/>
          <w:sz w:val="24"/>
          <w:szCs w:val="24"/>
        </w:rPr>
        <w:t xml:space="preserve">L'efficacité capital européenne</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Werner — INSEAD / Dealroom (2025, à confirmer)</w:t>
      </w:r>
      <w:r>
        <w:rPr>
          <w:rFonts w:ascii="Charter" w:cs="Charter" w:eastAsia="Charter" w:hAnsi="Charter"/>
          <w:sz w:val="21"/>
          <w:szCs w:val="21"/>
        </w:rPr>
        <w:t xml:space="preserve"> — Comparaison des P&amp;L de 500 scaleups US versus EU. Les scaleups européennes (par exemple Adyen) atteignent la rentabilité avec 40% de capital levé en moins que leurs concurrents directs US. Le churn des employés clés est 15% plus faible en Europe, stabilisant les coûts de R&amp;D.</w:t>
      </w:r>
    </w:p>
    <w:p>
      <w:pPr>
        <w:spacing w:after="160"/>
        <w:jc w:val="both"/>
      </w:pPr>
      <w:r>
        <w:rPr>
          <w:rFonts w:ascii="Charter" w:cs="Charter" w:eastAsia="Charter" w:hAnsi="Charter"/>
          <w:b/>
          <w:bCs/>
          <w:sz w:val="22"/>
          <w:szCs w:val="22"/>
        </w:rPr>
        <w:t xml:space="preserve">Implication. </w:t>
      </w:r>
      <w:r>
        <w:rPr>
          <w:rFonts w:ascii="Charter" w:cs="Charter" w:eastAsia="Charter" w:hAnsi="Charter"/>
          <w:sz w:val="22"/>
          <w:szCs w:val="22"/>
        </w:rPr>
        <w:t xml:space="preserve">La sobriété en capital européenne devient un avantage compétitif en période de taux élevés. Le moteur Macro doit reconnaître ce pattern et le valoriser, pas le pénaliser par comparaison aux multiples californiens.</w:t>
      </w:r>
    </w:p>
    <w:p>
      <w:pPr>
        <w:pBdr>
          <w:left w:val="single" w:color="1F2D3D" w:sz="24" w:space="12"/>
        </w:pBdr>
        <w:shd w:fill="F4F4ED" w:val="clear"/>
        <w:spacing w:after="80" w:before="120"/>
        <w:ind w:left="360" w:right="360"/>
      </w:pPr>
      <w:r>
        <w:rPr>
          <w:rFonts w:ascii="Charter" w:cs="Charter" w:eastAsia="Charter" w:hAnsi="Charter"/>
          <w:b/>
          <w:bCs/>
          <w:sz w:val="21"/>
          <w:szCs w:val="21"/>
        </w:rPr>
        <w:t xml:space="preserve">Calibration du moteur Macro</w:t>
      </w:r>
    </w:p>
    <w:p>
      <w:pPr>
        <w:pStyle w:val="ListParagraph"/>
        <w:numPr>
          <w:ilvl w:val="0"/>
          <w:numId w:val="2"/>
        </w:numPr>
        <w:spacing w:after="80"/>
      </w:pPr>
      <w:r>
        <w:rPr>
          <w:rFonts w:ascii="Charter" w:cs="Charter" w:eastAsia="Charter" w:hAnsi="Charter"/>
          <w:sz w:val="22"/>
          <w:szCs w:val="22"/>
        </w:rPr>
        <w:t xml:space="preserve">Pondérer le timing comme facteur dominant (Bill Gross : 42%).</w:t>
      </w:r>
    </w:p>
    <w:p>
      <w:pPr>
        <w:pStyle w:val="ListParagraph"/>
        <w:numPr>
          <w:ilvl w:val="0"/>
          <w:numId w:val="2"/>
        </w:numPr>
        <w:spacing w:after="80"/>
      </w:pPr>
      <w:r>
        <w:rPr>
          <w:rFonts w:ascii="Charter" w:cs="Charter" w:eastAsia="Charter" w:hAnsi="Charter"/>
          <w:sz w:val="22"/>
          <w:szCs w:val="22"/>
        </w:rPr>
        <w:t xml:space="preserve">Identifier les phases de transition installation-déploiement (Carlota Perez).</w:t>
      </w:r>
    </w:p>
    <w:p>
      <w:pPr>
        <w:pStyle w:val="ListParagraph"/>
        <w:numPr>
          <w:ilvl w:val="0"/>
          <w:numId w:val="2"/>
        </w:numPr>
        <w:spacing w:after="80"/>
      </w:pPr>
      <w:r>
        <w:rPr>
          <w:rFonts w:ascii="Charter" w:cs="Charter" w:eastAsia="Charter" w:hAnsi="Charter"/>
          <w:sz w:val="22"/>
          <w:szCs w:val="22"/>
        </w:rPr>
        <w:t xml:space="preserve">Intégrer le défaut de capital de croissance européen comme facteur de risque structurel (Atomico).</w:t>
      </w:r>
    </w:p>
    <w:p>
      <w:pPr>
        <w:pStyle w:val="ListParagraph"/>
        <w:numPr>
          <w:ilvl w:val="0"/>
          <w:numId w:val="2"/>
        </w:numPr>
        <w:spacing w:after="80"/>
      </w:pPr>
      <w:r>
        <w:rPr>
          <w:rFonts w:ascii="Charter" w:cs="Charter" w:eastAsia="Charter" w:hAnsi="Charter"/>
          <w:sz w:val="22"/>
          <w:szCs w:val="22"/>
        </w:rPr>
        <w:t xml:space="preserve">Reconnaître l'efficacité capital européenne comme avantage en période de taux élevés.</w:t>
      </w:r>
    </w:p>
    <w:p>
      <w:pPr>
        <w:pStyle w:val="ListParagraph"/>
        <w:numPr>
          <w:ilvl w:val="0"/>
          <w:numId w:val="2"/>
        </w:numPr>
        <w:spacing w:after="80"/>
      </w:pPr>
      <w:r>
        <w:rPr>
          <w:rFonts w:ascii="Charter" w:cs="Charter" w:eastAsia="Charter" w:hAnsi="Charter"/>
          <w:sz w:val="22"/>
          <w:szCs w:val="22"/>
        </w:rPr>
        <w:t xml:space="preserve">Identifier les bascules récentes : post-Ukraine 2022 (défense EU), post-ChatGPT 2022 (IA), post-COVID (télétravail), post-PSD2 (fintech EU).</w:t>
      </w:r>
    </w:p>
    <w:p>
      <w:pPr>
        <w:pStyle w:val="ListParagraph"/>
        <w:numPr>
          <w:ilvl w:val="0"/>
          <w:numId w:val="2"/>
        </w:numPr>
        <w:spacing w:after="80"/>
      </w:pPr>
      <w:r>
        <w:rPr>
          <w:rFonts w:ascii="Charter" w:cs="Charter" w:eastAsia="Charter" w:hAnsi="Charter"/>
          <w:sz w:val="22"/>
          <w:szCs w:val="22"/>
        </w:rPr>
        <w:t xml:space="preserve">Brancher sur des indicateurs macro réels via World Bank API : croissance PIB, inflation, taux d'intérêt, R&amp;D et FDI.</w:t>
      </w:r>
    </w:p>
    <w:p>
      <w:r>
        <w:br w:type="page"/>
      </w:r>
    </w:p>
    <w:p>
      <w:pPr>
        <w:pStyle w:val="Heading1"/>
        <w:spacing w:after="240" w:before="480"/>
      </w:pPr>
      <w:r>
        <w:rPr>
          <w:rFonts w:ascii="Iowan Old Style" w:cs="Iowan Old Style" w:eastAsia="Iowan Old Style" w:hAnsi="Iowan Old Style"/>
          <w:b/>
          <w:bCs/>
          <w:sz w:val="36"/>
          <w:szCs w:val="36"/>
        </w:rPr>
        <w:t xml:space="preserve">Sixième partie</w:t>
      </w:r>
    </w:p>
    <w:p>
      <w:pPr>
        <w:pStyle w:val="Heading2"/>
        <w:spacing w:after="180" w:before="360"/>
      </w:pPr>
      <w:r>
        <w:rPr>
          <w:rFonts w:ascii="Iowan Old Style" w:cs="Iowan Old Style" w:eastAsia="Iowan Old Style" w:hAnsi="Iowan Old Style"/>
          <w:b/>
          <w:bCs/>
          <w:sz w:val="28"/>
          <w:szCs w:val="28"/>
        </w:rPr>
        <w:t xml:space="preserve">Moteur 5 — Pattern matching corpus</w:t>
      </w:r>
    </w:p>
    <w:p>
      <w:pPr>
        <w:spacing w:after="160"/>
        <w:jc w:val="both"/>
      </w:pPr>
      <w:r>
        <w:rPr>
          <w:rFonts w:ascii="Charter" w:cs="Charter" w:eastAsia="Charter" w:hAnsi="Charter"/>
          <w:sz w:val="22"/>
          <w:szCs w:val="22"/>
        </w:rPr>
        <w:t xml:space="preserve">Le moteur de pattern matching est celui qui exploite directement le corpus structuré des 32 cas historiques. La calibration consiste à enrichir les attributs structurés du corpus avec les nouvelles dimensions identifiées par la veille académique.</w:t>
      </w:r>
    </w:p>
    <w:p>
      <w:pPr>
        <w:pStyle w:val="Heading3"/>
        <w:spacing w:after="120" w:before="240"/>
      </w:pPr>
      <w:r>
        <w:rPr>
          <w:rFonts w:ascii="Iowan Old Style" w:cs="Iowan Old Style" w:eastAsia="Iowan Old Style" w:hAnsi="Iowan Old Style"/>
          <w:b/>
          <w:bCs/>
          <w:sz w:val="24"/>
          <w:szCs w:val="24"/>
        </w:rPr>
        <w:t xml:space="preserve">Attributs structurels à ajouter au corpus</w:t>
      </w:r>
    </w:p>
    <w:p>
      <w:pPr>
        <w:pStyle w:val="ListParagraph"/>
        <w:numPr>
          <w:ilvl w:val="0"/>
          <w:numId w:val="2"/>
        </w:numPr>
        <w:spacing w:after="80"/>
      </w:pPr>
      <w:r>
        <w:rPr>
          <w:rFonts w:ascii="Charter" w:cs="Charter" w:eastAsia="Charter" w:hAnsi="Charter"/>
          <w:sz w:val="22"/>
          <w:szCs w:val="22"/>
        </w:rPr>
        <w:t xml:space="preserve">Âge moyen de l'équipe au moment du tour.</w:t>
      </w:r>
    </w:p>
    <w:p>
      <w:pPr>
        <w:pStyle w:val="ListParagraph"/>
        <w:numPr>
          <w:ilvl w:val="0"/>
          <w:numId w:val="2"/>
        </w:numPr>
        <w:spacing w:after="80"/>
      </w:pPr>
      <w:r>
        <w:rPr>
          <w:rFonts w:ascii="Charter" w:cs="Charter" w:eastAsia="Charter" w:hAnsi="Charter"/>
          <w:sz w:val="22"/>
          <w:szCs w:val="22"/>
        </w:rPr>
        <w:t xml:space="preserve">Présence ou non de cofondateurs ayant déjà travaillé ensemble auparavant.</w:t>
      </w:r>
    </w:p>
    <w:p>
      <w:pPr>
        <w:pStyle w:val="ListParagraph"/>
        <w:numPr>
          <w:ilvl w:val="0"/>
          <w:numId w:val="2"/>
        </w:numPr>
        <w:spacing w:after="80"/>
      </w:pPr>
      <w:r>
        <w:rPr>
          <w:rFonts w:ascii="Charter" w:cs="Charter" w:eastAsia="Charter" w:hAnsi="Charter"/>
          <w:sz w:val="22"/>
          <w:szCs w:val="22"/>
        </w:rPr>
        <w:t xml:space="preserve">Type de relation entre cofondateurs : amis d'enfance, conjoints, collègues professionnels.</w:t>
      </w:r>
    </w:p>
    <w:p>
      <w:pPr>
        <w:pStyle w:val="ListParagraph"/>
        <w:numPr>
          <w:ilvl w:val="0"/>
          <w:numId w:val="2"/>
        </w:numPr>
        <w:spacing w:after="80"/>
      </w:pPr>
      <w:r>
        <w:rPr>
          <w:rFonts w:ascii="Charter" w:cs="Charter" w:eastAsia="Charter" w:hAnsi="Charter"/>
          <w:sz w:val="22"/>
          <w:szCs w:val="22"/>
        </w:rPr>
        <w:t xml:space="preserve">Distribution des droits de vote post-tour.</w:t>
      </w:r>
    </w:p>
    <w:p>
      <w:pPr>
        <w:pStyle w:val="ListParagraph"/>
        <w:numPr>
          <w:ilvl w:val="0"/>
          <w:numId w:val="2"/>
        </w:numPr>
        <w:spacing w:after="80"/>
      </w:pPr>
      <w:r>
        <w:rPr>
          <w:rFonts w:ascii="Charter" w:cs="Charter" w:eastAsia="Charter" w:hAnsi="Charter"/>
          <w:sz w:val="22"/>
          <w:szCs w:val="22"/>
        </w:rPr>
        <w:t xml:space="preserve">Indépendance du board (présence d'administrateurs indépendants).</w:t>
      </w:r>
    </w:p>
    <w:p>
      <w:pPr>
        <w:pStyle w:val="ListParagraph"/>
        <w:numPr>
          <w:ilvl w:val="0"/>
          <w:numId w:val="2"/>
        </w:numPr>
        <w:spacing w:after="80"/>
      </w:pPr>
      <w:r>
        <w:rPr>
          <w:rFonts w:ascii="Charter" w:cs="Charter" w:eastAsia="Charter" w:hAnsi="Charter"/>
          <w:sz w:val="22"/>
          <w:szCs w:val="22"/>
        </w:rPr>
        <w:t xml:space="preserve">Ratio LTV/CAC à l'époque du tour, si données disponibles.</w:t>
      </w:r>
    </w:p>
    <w:p>
      <w:pPr>
        <w:pStyle w:val="ListParagraph"/>
        <w:numPr>
          <w:ilvl w:val="0"/>
          <w:numId w:val="2"/>
        </w:numPr>
        <w:spacing w:after="80"/>
      </w:pPr>
      <w:r>
        <w:rPr>
          <w:rFonts w:ascii="Charter" w:cs="Charter" w:eastAsia="Charter" w:hAnsi="Charter"/>
          <w:sz w:val="22"/>
          <w:szCs w:val="22"/>
        </w:rPr>
        <w:t xml:space="preserve">Net revenue retention à l'époque du tour, si données disponibles.</w:t>
      </w:r>
    </w:p>
    <w:p>
      <w:pPr>
        <w:pStyle w:val="ListParagraph"/>
        <w:numPr>
          <w:ilvl w:val="0"/>
          <w:numId w:val="2"/>
        </w:numPr>
        <w:spacing w:after="80"/>
      </w:pPr>
      <w:r>
        <w:rPr>
          <w:rFonts w:ascii="Charter" w:cs="Charter" w:eastAsia="Charter" w:hAnsi="Charter"/>
          <w:sz w:val="22"/>
          <w:szCs w:val="22"/>
        </w:rPr>
        <w:t xml:space="preserve">Pattern d'alignement Market-Product-Channel-Model à l'époque du tour.</w:t>
      </w:r>
    </w:p>
    <w:p>
      <w:pPr>
        <w:pStyle w:val="ListParagraph"/>
        <w:numPr>
          <w:ilvl w:val="0"/>
          <w:numId w:val="2"/>
        </w:numPr>
        <w:spacing w:after="80"/>
      </w:pPr>
      <w:r>
        <w:rPr>
          <w:rFonts w:ascii="Charter" w:cs="Charter" w:eastAsia="Charter" w:hAnsi="Charter"/>
          <w:sz w:val="22"/>
          <w:szCs w:val="22"/>
        </w:rPr>
        <w:t xml:space="preserve">Phase de cycle macro selon Carlota Perez : installation, transition, déploiement, mature.</w:t>
      </w:r>
    </w:p>
    <w:p>
      <w:pPr>
        <w:pStyle w:val="Heading3"/>
        <w:spacing w:after="120" w:before="240"/>
      </w:pPr>
      <w:r>
        <w:rPr>
          <w:rFonts w:ascii="Iowan Old Style" w:cs="Iowan Old Style" w:eastAsia="Iowan Old Style" w:hAnsi="Iowan Old Style"/>
          <w:b/>
          <w:bCs/>
          <w:sz w:val="24"/>
          <w:szCs w:val="24"/>
        </w:rPr>
        <w:t xml:space="preserve">Pattern d'angle mort enrichis</w:t>
      </w:r>
    </w:p>
    <w:p>
      <w:pPr>
        <w:spacing w:after="160"/>
        <w:jc w:val="both"/>
      </w:pPr>
      <w:r>
        <w:rPr>
          <w:rFonts w:ascii="Charter" w:cs="Charter" w:eastAsia="Charter" w:hAnsi="Charter"/>
          <w:b/>
          <w:bCs/>
          <w:sz w:val="22"/>
          <w:szCs w:val="22"/>
        </w:rPr>
        <w:t xml:space="preserve">Pattern jeune-fondateur survalorisé. </w:t>
      </w:r>
      <w:r>
        <w:rPr>
          <w:rFonts w:ascii="Charter" w:cs="Charter" w:eastAsia="Charter" w:hAnsi="Charter"/>
          <w:sz w:val="22"/>
          <w:szCs w:val="22"/>
        </w:rPr>
        <w:t xml:space="preserve">À ajouter en miroir du pattern jeune-fondateur sous-valorisé. Certains cas du corpus ont peut-être été surévalués parce que les fondateurs étaient jeunes et charismatiques (Kaplan et al. : charisme moins prédictif qu'exécution).</w:t>
      </w:r>
    </w:p>
    <w:p>
      <w:pPr>
        <w:spacing w:after="160"/>
        <w:jc w:val="both"/>
      </w:pPr>
      <w:r>
        <w:rPr>
          <w:rFonts w:ascii="Charter" w:cs="Charter" w:eastAsia="Charter" w:hAnsi="Charter"/>
          <w:b/>
          <w:bCs/>
          <w:sz w:val="22"/>
          <w:szCs w:val="22"/>
        </w:rPr>
        <w:t xml:space="preserve">Pattern collaboration-antérieure non lue. </w:t>
      </w:r>
      <w:r>
        <w:rPr>
          <w:rFonts w:ascii="Charter" w:cs="Charter" w:eastAsia="Charter" w:hAnsi="Charter"/>
          <w:sz w:val="22"/>
          <w:szCs w:val="22"/>
        </w:rPr>
        <w:t xml:space="preserve">Les cofondateurs ayant déjà travaillé ensemble dans une grande entreprise ont un taux de succès supérieur de 18% (Andrews 2024). Ce signal est rarement instrumenté dans les pitch decks.</w:t>
      </w:r>
    </w:p>
    <w:p>
      <w:pPr>
        <w:spacing w:after="160"/>
        <w:jc w:val="both"/>
      </w:pPr>
      <w:r>
        <w:rPr>
          <w:rFonts w:ascii="Charter" w:cs="Charter" w:eastAsia="Charter" w:hAnsi="Charter"/>
          <w:b/>
          <w:bCs/>
          <w:sz w:val="22"/>
          <w:szCs w:val="22"/>
        </w:rPr>
        <w:t xml:space="preserve">Pattern transfuge-industrie-adjacente. </w:t>
      </w:r>
      <w:r>
        <w:rPr>
          <w:rFonts w:ascii="Charter" w:cs="Charter" w:eastAsia="Charter" w:hAnsi="Charter"/>
          <w:sz w:val="22"/>
          <w:szCs w:val="22"/>
        </w:rPr>
        <w:t xml:space="preserve">Les fondateurs venant d'une industrie adjacente réussissent 22% mieux (Wessels 2024). Ce profil est souvent perçu comme manque de domain expertise par les filtres VC standards.</w:t>
      </w:r>
    </w:p>
    <w:p>
      <w:pPr>
        <w:spacing w:after="160"/>
        <w:jc w:val="both"/>
      </w:pPr>
      <w:r>
        <w:rPr>
          <w:rFonts w:ascii="Charter" w:cs="Charter" w:eastAsia="Charter" w:hAnsi="Charter"/>
          <w:b/>
          <w:bCs/>
          <w:sz w:val="22"/>
          <w:szCs w:val="22"/>
        </w:rPr>
        <w:t xml:space="preserve">Pattern gouvernance-déséquilibrée. </w:t>
      </w:r>
      <w:r>
        <w:rPr>
          <w:rFonts w:ascii="Charter" w:cs="Charter" w:eastAsia="Charter" w:hAnsi="Charter"/>
          <w:sz w:val="22"/>
          <w:szCs w:val="22"/>
        </w:rPr>
        <w:t xml:space="preserve">Plus de 60% des droits de vote concentrés sur le fondateur post-Series C augmente le risque de décisions erratiques (Birkinshaw 2025, à confirmer). Ce signal est rarement présenté explicitement dans les pitch decks.</w:t>
      </w:r>
    </w:p>
    <w:p>
      <w:pPr>
        <w:pBdr>
          <w:left w:val="single" w:color="1F2D3D" w:sz="24" w:space="12"/>
        </w:pBdr>
        <w:shd w:fill="F4F4ED" w:val="clear"/>
        <w:spacing w:after="80" w:before="120"/>
        <w:ind w:left="360" w:right="360"/>
      </w:pPr>
      <w:r>
        <w:rPr>
          <w:rFonts w:ascii="Charter" w:cs="Charter" w:eastAsia="Charter" w:hAnsi="Charter"/>
          <w:b/>
          <w:bCs/>
          <w:sz w:val="21"/>
          <w:szCs w:val="21"/>
        </w:rPr>
        <w:t xml:space="preserve">Calibration du moteur de pattern matching</w:t>
      </w:r>
    </w:p>
    <w:p>
      <w:pPr>
        <w:pStyle w:val="ListParagraph"/>
        <w:numPr>
          <w:ilvl w:val="0"/>
          <w:numId w:val="2"/>
        </w:numPr>
        <w:spacing w:after="80"/>
      </w:pPr>
      <w:r>
        <w:rPr>
          <w:rFonts w:ascii="Charter" w:cs="Charter" w:eastAsia="Charter" w:hAnsi="Charter"/>
          <w:sz w:val="22"/>
          <w:szCs w:val="22"/>
        </w:rPr>
        <w:t xml:space="preserve">Enrichir les attributs structurés des 32 cas du corpus avec les nouvelles dimensions identifiées.</w:t>
      </w:r>
    </w:p>
    <w:p>
      <w:pPr>
        <w:pStyle w:val="ListParagraph"/>
        <w:numPr>
          <w:ilvl w:val="0"/>
          <w:numId w:val="2"/>
        </w:numPr>
        <w:spacing w:after="80"/>
      </w:pPr>
      <w:r>
        <w:rPr>
          <w:rFonts w:ascii="Charter" w:cs="Charter" w:eastAsia="Charter" w:hAnsi="Charter"/>
          <w:sz w:val="22"/>
          <w:szCs w:val="22"/>
        </w:rPr>
        <w:t xml:space="preserve">Ajouter les nouveaux patterns d'angle mort identifiés par la veille (jeune-survalorisé, collaboration-antérieure-non-lue, transfuge-adjacente, gouvernance-déséquilibrée).</w:t>
      </w:r>
    </w:p>
    <w:p>
      <w:pPr>
        <w:pStyle w:val="ListParagraph"/>
        <w:numPr>
          <w:ilvl w:val="0"/>
          <w:numId w:val="2"/>
        </w:numPr>
        <w:spacing w:after="80"/>
      </w:pPr>
      <w:r>
        <w:rPr>
          <w:rFonts w:ascii="Charter" w:cs="Charter" w:eastAsia="Charter" w:hAnsi="Charter"/>
          <w:sz w:val="22"/>
          <w:szCs w:val="22"/>
        </w:rPr>
        <w:t xml:space="preserve">Recalibrer les scores rétrospectifs en intégrant les seuils académiques (Kaplan, Andrews, Wasserman, Roach &amp; Sauermann).</w:t>
      </w:r>
    </w:p>
    <w:p>
      <w:r>
        <w:br w:type="page"/>
      </w:r>
    </w:p>
    <w:p>
      <w:pPr>
        <w:pStyle w:val="Heading1"/>
        <w:spacing w:after="240" w:before="480"/>
      </w:pPr>
      <w:r>
        <w:rPr>
          <w:rFonts w:ascii="Iowan Old Style" w:cs="Iowan Old Style" w:eastAsia="Iowan Old Style" w:hAnsi="Iowan Old Style"/>
          <w:b/>
          <w:bCs/>
          <w:sz w:val="36"/>
          <w:szCs w:val="36"/>
        </w:rPr>
        <w:t xml:space="preserve">Septième partie</w:t>
      </w:r>
    </w:p>
    <w:p>
      <w:pPr>
        <w:pStyle w:val="Heading2"/>
        <w:spacing w:after="180" w:before="360"/>
      </w:pPr>
      <w:r>
        <w:rPr>
          <w:rFonts w:ascii="Iowan Old Style" w:cs="Iowan Old Style" w:eastAsia="Iowan Old Style" w:hAnsi="Iowan Old Style"/>
          <w:b/>
          <w:bCs/>
          <w:sz w:val="28"/>
          <w:szCs w:val="28"/>
        </w:rPr>
        <w:t xml:space="preserve">Moteur 6 — Retournement causal et angles morts</w:t>
      </w:r>
    </w:p>
    <w:p>
      <w:pPr>
        <w:pStyle w:val="Heading3"/>
        <w:spacing w:after="120" w:before="240"/>
      </w:pPr>
      <w:r>
        <w:rPr>
          <w:rFonts w:ascii="Iowan Old Style" w:cs="Iowan Old Style" w:eastAsia="Iowan Old Style" w:hAnsi="Iowan Old Style"/>
          <w:b/>
          <w:bCs/>
          <w:sz w:val="24"/>
          <w:szCs w:val="24"/>
        </w:rPr>
        <w:t xml:space="preserve">Les biais cognitifs des investisseurs comme angles morts structurels</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Brooks, Huang, Kearney, Murray — Harvard Business School, Wharton, MIT (2014)</w:t>
      </w:r>
      <w:r>
        <w:rPr>
          <w:rFonts w:ascii="Charter" w:cs="Charter" w:eastAsia="Charter" w:hAnsi="Charter"/>
          <w:sz w:val="21"/>
          <w:szCs w:val="21"/>
        </w:rPr>
        <w:t xml:space="preserve"> — Pitch competitions et expériences contrôlées. Les hommes ont 60% plus de chances de succès en pitch que les femmes à dossier équivalent. L'attractivité physique masculine augmente le succès de 36%. Le pattern matching sur l'apparence et le genre est un biais documenté.</w:t>
      </w:r>
    </w:p>
    <w:p>
      <w:pPr>
        <w:spacing w:after="140"/>
        <w:ind w:left="360"/>
        <w:jc w:val="both"/>
      </w:pPr>
      <w:r>
        <w:rPr>
          <w:rFonts w:ascii="Charter" w:cs="Charter" w:eastAsia="Charter" w:hAnsi="Charter"/>
          <w:b/>
          <w:bCs/>
          <w:color w:val="2D5A3D"/>
          <w:sz w:val="22"/>
          <w:szCs w:val="22"/>
        </w:rPr>
        <w:t xml:space="preserve">◆ </w:t>
      </w:r>
      <w:r>
        <w:rPr>
          <w:rFonts w:ascii="Charter" w:cs="Charter" w:eastAsia="Charter" w:hAnsi="Charter"/>
          <w:b/>
          <w:bCs/>
          <w:sz w:val="21"/>
          <w:szCs w:val="21"/>
        </w:rPr>
        <w:t xml:space="preserve">Kanze, Huang, Conley, Higgins — Wharton, Columbia (2018)</w:t>
      </w:r>
      <w:r>
        <w:rPr>
          <w:rFonts w:ascii="Charter" w:cs="Charter" w:eastAsia="Charter" w:hAnsi="Charter"/>
          <w:sz w:val="21"/>
          <w:szCs w:val="21"/>
        </w:rPr>
        <w:t xml:space="preserve"> — Analyse Q&amp;A entre VCs et entrepreneurs. Les hommes reçoivent davantage de questions de type promotion (croissance, opportunité). Les femmes reçoivent davantage de questions de type prévention (risque, défense). Cette asymétrie corrèle avec un écart de financement à dossier équivalent.</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Vazirani et al. (2023)</w:t>
      </w:r>
      <w:r>
        <w:rPr>
          <w:rFonts w:ascii="Charter" w:cs="Charter" w:eastAsia="Charter" w:hAnsi="Charter"/>
          <w:sz w:val="21"/>
          <w:szCs w:val="21"/>
        </w:rPr>
        <w:t xml:space="preserve"> — Méta-analyse de 75 études empiriques 2000-2020 sur les biais d'investissement. Les investisseurs surpondèrent les signaux de croissance par rapport aux signaux de couverture du risque.</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Kirsch, Goldfarb, Gera — University of Maryland (2009)</w:t>
      </w:r>
      <w:r>
        <w:rPr>
          <w:rFonts w:ascii="Charter" w:cs="Charter" w:eastAsia="Charter" w:hAnsi="Charter"/>
          <w:sz w:val="21"/>
          <w:szCs w:val="21"/>
        </w:rPr>
        <w:t xml:space="preserve"> — Étude sur 722 dossiers soumis à une firme VC. Forme et substance dans le screening initial. Un dossier bien packagé peut masquer une faiblesse substantielle sur le contenu.</w:t>
      </w:r>
    </w:p>
    <w:p>
      <w:pPr>
        <w:pStyle w:val="Heading3"/>
        <w:spacing w:after="120" w:before="240"/>
      </w:pPr>
      <w:r>
        <w:rPr>
          <w:rFonts w:ascii="Iowan Old Style" w:cs="Iowan Old Style" w:eastAsia="Iowan Old Style" w:hAnsi="Iowan Old Style"/>
          <w:b/>
          <w:bCs/>
          <w:sz w:val="24"/>
          <w:szCs w:val="24"/>
        </w:rPr>
        <w:t xml:space="preserve">Les sept angles morts du métier VC européen</w:t>
      </w:r>
    </w:p>
    <w:p>
      <w:pPr>
        <w:spacing w:after="160"/>
        <w:jc w:val="both"/>
      </w:pPr>
      <w:r>
        <w:rPr>
          <w:rFonts w:ascii="Charter" w:cs="Charter" w:eastAsia="Charter" w:hAnsi="Charter"/>
          <w:sz w:val="22"/>
          <w:szCs w:val="22"/>
        </w:rPr>
        <w:t xml:space="preserve">La plateforme Concorde structure les angles morts en sept catégories. La calibration de chacune par la veille académique est précisée ci-dessous.</w:t>
      </w:r>
    </w:p>
    <w:p>
      <w:pPr>
        <w:spacing w:after="100" w:before="200"/>
      </w:pPr>
      <w:r>
        <w:rPr>
          <w:rFonts w:ascii="Iowan Old Style" w:cs="Iowan Old Style" w:eastAsia="Iowan Old Style" w:hAnsi="Iowan Old Style"/>
          <w:b/>
          <w:bCs/>
          <w:i/>
          <w:iCs/>
          <w:sz w:val="22"/>
          <w:szCs w:val="22"/>
        </w:rPr>
        <w:t xml:space="preserve">Angle mort 1 — Maturité d'exécution</w:t>
      </w:r>
    </w:p>
    <w:p>
      <w:pPr>
        <w:spacing w:after="160"/>
        <w:jc w:val="both"/>
      </w:pPr>
      <w:r>
        <w:rPr>
          <w:rFonts w:ascii="Charter" w:cs="Charter" w:eastAsia="Charter" w:hAnsi="Charter"/>
          <w:sz w:val="22"/>
          <w:szCs w:val="22"/>
        </w:rPr>
        <w:t xml:space="preserve">Calibration : pondérer les signaux d'exécution réels (publications, repos GitHub actifs, products shippés) plus que le pedigree canonique. Référence : Kaplan, Klebanov, Sørensen 2008. Les capacités d'exécution prédisent mieux que les qualités relationnelles.</w:t>
      </w:r>
    </w:p>
    <w:p>
      <w:pPr>
        <w:spacing w:after="100" w:before="200"/>
      </w:pPr>
      <w:r>
        <w:rPr>
          <w:rFonts w:ascii="Iowan Old Style" w:cs="Iowan Old Style" w:eastAsia="Iowan Old Style" w:hAnsi="Iowan Old Style"/>
          <w:b/>
          <w:bCs/>
          <w:i/>
          <w:iCs/>
          <w:sz w:val="22"/>
          <w:szCs w:val="22"/>
        </w:rPr>
        <w:t xml:space="preserve">Angle mort 2 — Intensité du besoin</w:t>
      </w:r>
    </w:p>
    <w:p>
      <w:pPr>
        <w:spacing w:after="160"/>
        <w:jc w:val="both"/>
      </w:pPr>
      <w:r>
        <w:rPr>
          <w:rFonts w:ascii="Charter" w:cs="Charter" w:eastAsia="Charter" w:hAnsi="Charter"/>
          <w:sz w:val="22"/>
          <w:szCs w:val="22"/>
        </w:rPr>
        <w:t xml:space="preserve">Calibration : 35% des échecs sont dus à une absence de besoin marché (CB Insights). L'intensité du besoin doit être mesurée par signaux objectifs (Christensen Jobs to Be Done), pas par TAM déclaré.</w:t>
      </w:r>
    </w:p>
    <w:p>
      <w:pPr>
        <w:spacing w:after="100" w:before="200"/>
      </w:pPr>
      <w:r>
        <w:rPr>
          <w:rFonts w:ascii="Iowan Old Style" w:cs="Iowan Old Style" w:eastAsia="Iowan Old Style" w:hAnsi="Iowan Old Style"/>
          <w:b/>
          <w:bCs/>
          <w:i/>
          <w:iCs/>
          <w:sz w:val="22"/>
          <w:szCs w:val="22"/>
        </w:rPr>
        <w:t xml:space="preserve">Angle mort 3 — Distribution acquise</w:t>
      </w:r>
    </w:p>
    <w:p>
      <w:pPr>
        <w:spacing w:after="160"/>
        <w:jc w:val="both"/>
      </w:pPr>
      <w:r>
        <w:rPr>
          <w:rFonts w:ascii="Charter" w:cs="Charter" w:eastAsia="Charter" w:hAnsi="Charter"/>
          <w:sz w:val="22"/>
          <w:szCs w:val="22"/>
        </w:rPr>
        <w:t xml:space="preserve">Calibration : la collaboration antérieure des cofondateurs (Andrews 2024 : +18%) et l'expérience sectorielle (Roach &amp; Sauermann : +40%) sont des formes de distribution acquise rarement valorisées dans les pitch decks.</w:t>
      </w:r>
    </w:p>
    <w:p>
      <w:pPr>
        <w:spacing w:after="100" w:before="200"/>
      </w:pPr>
      <w:r>
        <w:rPr>
          <w:rFonts w:ascii="Iowan Old Style" w:cs="Iowan Old Style" w:eastAsia="Iowan Old Style" w:hAnsi="Iowan Old Style"/>
          <w:b/>
          <w:bCs/>
          <w:i/>
          <w:iCs/>
          <w:sz w:val="22"/>
          <w:szCs w:val="22"/>
        </w:rPr>
        <w:t xml:space="preserve">Angle mort 4 — Anti-fragilité</w:t>
      </w:r>
    </w:p>
    <w:p>
      <w:pPr>
        <w:spacing w:after="160"/>
        <w:jc w:val="both"/>
      </w:pPr>
      <w:r>
        <w:rPr>
          <w:rFonts w:ascii="Charter" w:cs="Charter" w:eastAsia="Charter" w:hAnsi="Charter"/>
          <w:sz w:val="22"/>
          <w:szCs w:val="22"/>
        </w:rPr>
        <w:t xml:space="preserve">Calibration : la personnalité fondatrice (McCarthy et al. PNAS 2023 : tolérance incertitude, ouverture, énergie, stabilité) prédit les outcomes à plusieurs phases. Ces traits doivent être instrumentés via les sources publiques.</w:t>
      </w:r>
    </w:p>
    <w:p>
      <w:pPr>
        <w:spacing w:after="100" w:before="200"/>
      </w:pPr>
      <w:r>
        <w:rPr>
          <w:rFonts w:ascii="Iowan Old Style" w:cs="Iowan Old Style" w:eastAsia="Iowan Old Style" w:hAnsi="Iowan Old Style"/>
          <w:b/>
          <w:bCs/>
          <w:i/>
          <w:iCs/>
          <w:sz w:val="22"/>
          <w:szCs w:val="22"/>
        </w:rPr>
        <w:t xml:space="preserve">Angle mort 5 — Cohérence narrative</w:t>
      </w:r>
    </w:p>
    <w:p>
      <w:pPr>
        <w:spacing w:after="160"/>
        <w:jc w:val="both"/>
      </w:pPr>
      <w:r>
        <w:rPr>
          <w:rFonts w:ascii="Charter" w:cs="Charter" w:eastAsia="Charter" w:hAnsi="Charter"/>
          <w:sz w:val="22"/>
          <w:szCs w:val="22"/>
        </w:rPr>
        <w:t xml:space="preserve">Calibration : alignement Market-Product-Channel-Model (Balfour). La cohérence n'est pas un score isolé mais l'alignement de quatre éléments structurels. Misalignment Product-Channel ou Model-Market sont les patterns d'échec dominants.</w:t>
      </w:r>
    </w:p>
    <w:p>
      <w:pPr>
        <w:spacing w:after="100" w:before="200"/>
      </w:pPr>
      <w:r>
        <w:rPr>
          <w:rFonts w:ascii="Iowan Old Style" w:cs="Iowan Old Style" w:eastAsia="Iowan Old Style" w:hAnsi="Iowan Old Style"/>
          <w:b/>
          <w:bCs/>
          <w:i/>
          <w:iCs/>
          <w:sz w:val="22"/>
          <w:szCs w:val="22"/>
        </w:rPr>
        <w:t xml:space="preserve">Angle mort 6 — Signaux organiques</w:t>
      </w:r>
    </w:p>
    <w:p>
      <w:pPr>
        <w:spacing w:after="160"/>
        <w:jc w:val="both"/>
      </w:pPr>
      <w:r>
        <w:rPr>
          <w:rFonts w:ascii="Charter" w:cs="Charter" w:eastAsia="Charter" w:hAnsi="Charter"/>
          <w:sz w:val="22"/>
          <w:szCs w:val="22"/>
        </w:rPr>
        <w:t xml:space="preserve">Calibration : Andrew Chen a16z. Les startups qui scalent durablement ont identifié un ou deux canaux organiques défensibles. Le moteur doit instrumenter ces canaux via Hacker News, OpenAlex, GitHub Topics, communautés en ligne.</w:t>
      </w:r>
    </w:p>
    <w:p>
      <w:pPr>
        <w:spacing w:after="100" w:before="200"/>
      </w:pPr>
      <w:r>
        <w:rPr>
          <w:rFonts w:ascii="Iowan Old Style" w:cs="Iowan Old Style" w:eastAsia="Iowan Old Style" w:hAnsi="Iowan Old Style"/>
          <w:b/>
          <w:bCs/>
          <w:i/>
          <w:iCs/>
          <w:sz w:val="22"/>
          <w:szCs w:val="22"/>
        </w:rPr>
        <w:t xml:space="preserve">Angle mort 7 — Timing contracyclique</w:t>
      </w:r>
    </w:p>
    <w:p>
      <w:pPr>
        <w:spacing w:after="160"/>
        <w:jc w:val="both"/>
      </w:pPr>
      <w:r>
        <w:rPr>
          <w:rFonts w:ascii="Charter" w:cs="Charter" w:eastAsia="Charter" w:hAnsi="Charter"/>
          <w:sz w:val="22"/>
          <w:szCs w:val="22"/>
        </w:rPr>
        <w:t xml:space="preserve">Calibration : Bill Gross 42%, Carlota Perez sur les phases d'adoption. Le timing est le facteur le plus prédictif. Identifier les transitions installation-déploiement et les fenêtres post-crise.</w:t>
      </w:r>
    </w:p>
    <w:p>
      <w:pPr>
        <w:pStyle w:val="Heading3"/>
        <w:spacing w:after="120" w:before="240"/>
      </w:pPr>
      <w:r>
        <w:rPr>
          <w:rFonts w:ascii="Iowan Old Style" w:cs="Iowan Old Style" w:eastAsia="Iowan Old Style" w:hAnsi="Iowan Old Style"/>
          <w:b/>
          <w:bCs/>
          <w:sz w:val="24"/>
          <w:szCs w:val="24"/>
        </w:rPr>
        <w:t xml:space="preserve">Génération de questions contraires à la thèse</w:t>
      </w:r>
    </w:p>
    <w:p>
      <w:pPr>
        <w:spacing w:after="160"/>
        <w:jc w:val="both"/>
      </w:pPr>
      <w:r>
        <w:rPr>
          <w:rFonts w:ascii="Charter" w:cs="Charter" w:eastAsia="Charter" w:hAnsi="Charter"/>
          <w:b/>
          <w:bCs/>
          <w:sz w:val="22"/>
          <w:szCs w:val="22"/>
        </w:rPr>
        <w:t xml:space="preserve">Implication centrale. </w:t>
      </w:r>
      <w:r>
        <w:rPr>
          <w:rFonts w:ascii="Charter" w:cs="Charter" w:eastAsia="Charter" w:hAnsi="Charter"/>
          <w:sz w:val="22"/>
          <w:szCs w:val="22"/>
        </w:rPr>
        <w:t xml:space="preserve">Le moteur de retournement causal doit générer systématiquement une question contraire à la thèse implicite du dossier. Si le pitch présente l'équipe comme exceptionnelle, la question doit interroger les patterns d'échec d'équipes similaires. Si le pitch présente le marché comme massif, la question doit interroger l'absence de besoin réel chez les early adopters. C'est la mécanique anti-confirmation bias structurelle de la plateforme.</w:t>
      </w:r>
    </w:p>
    <w:p>
      <w:pPr>
        <w:pBdr>
          <w:left w:val="single" w:color="1F2D3D" w:sz="24" w:space="12"/>
        </w:pBdr>
        <w:shd w:fill="F4F4ED" w:val="clear"/>
        <w:spacing w:after="80" w:before="120"/>
        <w:ind w:left="360" w:right="360"/>
      </w:pPr>
      <w:r>
        <w:rPr>
          <w:rFonts w:ascii="Charter" w:cs="Charter" w:eastAsia="Charter" w:hAnsi="Charter"/>
          <w:b/>
          <w:bCs/>
          <w:sz w:val="21"/>
          <w:szCs w:val="21"/>
        </w:rPr>
        <w:t xml:space="preserve">Calibration du moteur de retournement causal</w:t>
      </w:r>
    </w:p>
    <w:p>
      <w:pPr>
        <w:pStyle w:val="ListParagraph"/>
        <w:numPr>
          <w:ilvl w:val="0"/>
          <w:numId w:val="2"/>
        </w:numPr>
        <w:spacing w:after="80"/>
      </w:pPr>
      <w:r>
        <w:rPr>
          <w:rFonts w:ascii="Charter" w:cs="Charter" w:eastAsia="Charter" w:hAnsi="Charter"/>
          <w:sz w:val="22"/>
          <w:szCs w:val="22"/>
        </w:rPr>
        <w:t xml:space="preserve">Intégrer les six patterns d'échec d'Eisenmann (Why Startups Fail 2021).</w:t>
      </w:r>
    </w:p>
    <w:p>
      <w:pPr>
        <w:pStyle w:val="ListParagraph"/>
        <w:numPr>
          <w:ilvl w:val="0"/>
          <w:numId w:val="2"/>
        </w:numPr>
        <w:spacing w:after="80"/>
      </w:pPr>
      <w:r>
        <w:rPr>
          <w:rFonts w:ascii="Charter" w:cs="Charter" w:eastAsia="Charter" w:hAnsi="Charter"/>
          <w:sz w:val="22"/>
          <w:szCs w:val="22"/>
        </w:rPr>
        <w:t xml:space="preserve">Identifier le scaling prématuré comme cause de mortalité majeure (Startup Genome).</w:t>
      </w:r>
    </w:p>
    <w:p>
      <w:pPr>
        <w:pStyle w:val="ListParagraph"/>
        <w:numPr>
          <w:ilvl w:val="0"/>
          <w:numId w:val="2"/>
        </w:numPr>
        <w:spacing w:after="80"/>
      </w:pPr>
      <w:r>
        <w:rPr>
          <w:rFonts w:ascii="Charter" w:cs="Charter" w:eastAsia="Charter" w:hAnsi="Charter"/>
          <w:sz w:val="22"/>
          <w:szCs w:val="22"/>
        </w:rPr>
        <w:t xml:space="preserve">Instrumenter explicitement les biais de l'instructeur : pattern matching, pedigree, confirmation, gendered language.</w:t>
      </w:r>
    </w:p>
    <w:p>
      <w:pPr>
        <w:pStyle w:val="ListParagraph"/>
        <w:numPr>
          <w:ilvl w:val="0"/>
          <w:numId w:val="2"/>
        </w:numPr>
        <w:spacing w:after="80"/>
      </w:pPr>
      <w:r>
        <w:rPr>
          <w:rFonts w:ascii="Charter" w:cs="Charter" w:eastAsia="Charter" w:hAnsi="Charter"/>
          <w:sz w:val="22"/>
          <w:szCs w:val="22"/>
        </w:rPr>
        <w:t xml:space="preserve">Générer systématiquement une question contraire à la thèse implicite du dossier.</w:t>
      </w:r>
    </w:p>
    <w:p>
      <w:pPr>
        <w:pStyle w:val="ListParagraph"/>
        <w:numPr>
          <w:ilvl w:val="0"/>
          <w:numId w:val="2"/>
        </w:numPr>
        <w:spacing w:after="80"/>
      </w:pPr>
      <w:r>
        <w:rPr>
          <w:rFonts w:ascii="Charter" w:cs="Charter" w:eastAsia="Charter" w:hAnsi="Charter"/>
          <w:sz w:val="22"/>
          <w:szCs w:val="22"/>
        </w:rPr>
        <w:t xml:space="preserve">Appliquer une grille standardisée de questions promotion-prevention pour neutraliser les biais (Kanze et al.).</w:t>
      </w:r>
    </w:p>
    <w:p>
      <w:r>
        <w:br w:type="page"/>
      </w:r>
    </w:p>
    <w:p>
      <w:pPr>
        <w:pStyle w:val="Heading1"/>
        <w:spacing w:after="240" w:before="480"/>
      </w:pPr>
      <w:r>
        <w:rPr>
          <w:rFonts w:ascii="Iowan Old Style" w:cs="Iowan Old Style" w:eastAsia="Iowan Old Style" w:hAnsi="Iowan Old Style"/>
          <w:b/>
          <w:bCs/>
          <w:sz w:val="36"/>
          <w:szCs w:val="36"/>
        </w:rPr>
        <w:t xml:space="preserve">Huitième partie</w:t>
      </w:r>
    </w:p>
    <w:p>
      <w:pPr>
        <w:pStyle w:val="Heading2"/>
        <w:spacing w:after="180" w:before="360"/>
      </w:pPr>
      <w:r>
        <w:rPr>
          <w:rFonts w:ascii="Iowan Old Style" w:cs="Iowan Old Style" w:eastAsia="Iowan Old Style" w:hAnsi="Iowan Old Style"/>
          <w:b/>
          <w:bCs/>
          <w:sz w:val="28"/>
          <w:szCs w:val="28"/>
        </w:rPr>
        <w:t xml:space="preserve">Moteur 7 — Orchestration et recommandation finale</w:t>
      </w:r>
    </w:p>
    <w:p>
      <w:pPr>
        <w:pStyle w:val="Heading3"/>
        <w:spacing w:after="120" w:before="240"/>
      </w:pPr>
      <w:r>
        <w:rPr>
          <w:rFonts w:ascii="Iowan Old Style" w:cs="Iowan Old Style" w:eastAsia="Iowan Old Style" w:hAnsi="Iowan Old Style"/>
          <w:b/>
          <w:bCs/>
          <w:sz w:val="24"/>
          <w:szCs w:val="24"/>
        </w:rPr>
        <w:t xml:space="preserve">Pondérations recommandées</w:t>
      </w:r>
    </w:p>
    <w:p>
      <w:pPr>
        <w:spacing w:after="160"/>
        <w:jc w:val="both"/>
      </w:pPr>
      <w:r>
        <w:rPr>
          <w:rFonts w:ascii="Charter" w:cs="Charter" w:eastAsia="Charter" w:hAnsi="Charter"/>
          <w:sz w:val="22"/>
          <w:szCs w:val="22"/>
        </w:rPr>
        <w:t xml:space="preserve">La consolidation académique permet de proposer une pondération pour le score global. Cette pondération s'appuie sur les hiérarchies prédictives identifiées par la recherche, et non sur l'intuition VC standard.</w:t>
      </w:r>
    </w:p>
    <w:p>
      <w:pPr>
        <w:spacing w:after="100" w:before="200"/>
      </w:pPr>
      <w:r>
        <w:rPr>
          <w:rFonts w:ascii="Iowan Old Style" w:cs="Iowan Old Style" w:eastAsia="Iowan Old Style" w:hAnsi="Iowan Old Style"/>
          <w:b/>
          <w:bCs/>
          <w:i/>
          <w:iCs/>
          <w:sz w:val="22"/>
          <w:szCs w:val="22"/>
        </w:rPr>
        <w:t xml:space="preserve">Hiérarchie des pondérations</w:t>
      </w:r>
    </w:p>
    <w:p>
      <w:pPr>
        <w:pStyle w:val="ListParagraph"/>
        <w:numPr>
          <w:ilvl w:val="0"/>
          <w:numId w:val="2"/>
        </w:numPr>
        <w:spacing w:after="80"/>
      </w:pPr>
      <w:r>
        <w:rPr>
          <w:rFonts w:ascii="Charter" w:cs="Charter" w:eastAsia="Charter" w:hAnsi="Charter"/>
          <w:sz w:val="22"/>
          <w:szCs w:val="22"/>
        </w:rPr>
        <w:t xml:space="preserve">Timing macro : 25%. Justification : Bill Gross identifie le timing comme facteur dominant à 42% sur 200 startups.</w:t>
      </w:r>
    </w:p>
    <w:p>
      <w:pPr>
        <w:pStyle w:val="ListParagraph"/>
        <w:numPr>
          <w:ilvl w:val="0"/>
          <w:numId w:val="2"/>
        </w:numPr>
        <w:spacing w:after="80"/>
      </w:pPr>
      <w:r>
        <w:rPr>
          <w:rFonts w:ascii="Charter" w:cs="Charter" w:eastAsia="Charter" w:hAnsi="Charter"/>
          <w:sz w:val="22"/>
          <w:szCs w:val="22"/>
        </w:rPr>
        <w:t xml:space="preserve">Marché et intensité du besoin : 22%. Justification : 35% des échecs sont dus à l'absence de besoin marché (CB Insights).</w:t>
      </w:r>
    </w:p>
    <w:p>
      <w:pPr>
        <w:pStyle w:val="ListParagraph"/>
        <w:numPr>
          <w:ilvl w:val="0"/>
          <w:numId w:val="2"/>
        </w:numPr>
        <w:spacing w:after="80"/>
      </w:pPr>
      <w:r>
        <w:rPr>
          <w:rFonts w:ascii="Charter" w:cs="Charter" w:eastAsia="Charter" w:hAnsi="Charter"/>
          <w:sz w:val="22"/>
          <w:szCs w:val="22"/>
        </w:rPr>
        <w:t xml:space="preserve">Équipe et exécution : 18%. Justification : Kaplan et al. sur l'importance de l'exécution. Mais sans surpondération vu le décalage déclaratif-comportemental (Gompers, Gornall, Kaplan, Strebulaev 2016).</w:t>
      </w:r>
    </w:p>
    <w:p>
      <w:pPr>
        <w:pStyle w:val="ListParagraph"/>
        <w:numPr>
          <w:ilvl w:val="0"/>
          <w:numId w:val="2"/>
        </w:numPr>
        <w:spacing w:after="80"/>
      </w:pPr>
      <w:r>
        <w:rPr>
          <w:rFonts w:ascii="Charter" w:cs="Charter" w:eastAsia="Charter" w:hAnsi="Charter"/>
          <w:sz w:val="22"/>
          <w:szCs w:val="22"/>
        </w:rPr>
        <w:t xml:space="preserve">Modèle économique et unit economics : 12%. Justification : seuils prédictifs établis (LTV/CAC &gt; 3, payback &lt; 18 mois, NRR &gt; 100%).</w:t>
      </w:r>
    </w:p>
    <w:p>
      <w:pPr>
        <w:pStyle w:val="ListParagraph"/>
        <w:numPr>
          <w:ilvl w:val="0"/>
          <w:numId w:val="2"/>
        </w:numPr>
        <w:spacing w:after="80"/>
      </w:pPr>
      <w:r>
        <w:rPr>
          <w:rFonts w:ascii="Charter" w:cs="Charter" w:eastAsia="Charter" w:hAnsi="Charter"/>
          <w:sz w:val="22"/>
          <w:szCs w:val="22"/>
        </w:rPr>
        <w:t xml:space="preserve">Traction et PMF : 10%. Justification : alignement MPCM (Balfour), pente de stabilisation des cohortes (Skok).</w:t>
      </w:r>
    </w:p>
    <w:p>
      <w:pPr>
        <w:pStyle w:val="ListParagraph"/>
        <w:numPr>
          <w:ilvl w:val="0"/>
          <w:numId w:val="2"/>
        </w:numPr>
        <w:spacing w:after="80"/>
      </w:pPr>
      <w:r>
        <w:rPr>
          <w:rFonts w:ascii="Charter" w:cs="Charter" w:eastAsia="Charter" w:hAnsi="Charter"/>
          <w:sz w:val="22"/>
          <w:szCs w:val="22"/>
        </w:rPr>
        <w:t xml:space="preserve">Risques et gouvernance : 8%. Justification : Pollman 2023 sur la gouvernance comme signal faible majeur.</w:t>
      </w:r>
    </w:p>
    <w:p>
      <w:pPr>
        <w:pStyle w:val="ListParagraph"/>
        <w:numPr>
          <w:ilvl w:val="0"/>
          <w:numId w:val="2"/>
        </w:numPr>
        <w:spacing w:after="80"/>
      </w:pPr>
      <w:r>
        <w:rPr>
          <w:rFonts w:ascii="Charter" w:cs="Charter" w:eastAsia="Charter" w:hAnsi="Charter"/>
          <w:sz w:val="22"/>
          <w:szCs w:val="22"/>
        </w:rPr>
        <w:t xml:space="preserve">Cohérence narrative globale : 5%. Justification : indicateur transversal de qualité du dossier.</w:t>
      </w:r>
    </w:p>
    <w:p>
      <w:pPr>
        <w:spacing w:after="120"/>
        <w:ind w:left="360"/>
        <w:jc w:val="both"/>
      </w:pPr>
      <w:r>
        <w:rPr>
          <w:rFonts w:ascii="Charter" w:cs="Charter" w:eastAsia="Charter" w:hAnsi="Charter"/>
          <w:i/>
          <w:iCs/>
          <w:color w:val="777777"/>
          <w:sz w:val="20"/>
          <w:szCs w:val="20"/>
        </w:rPr>
        <w:t xml:space="preserve">Ces pondérations sont indicatives et devraient être ajustées par retour terrain après les premiers déploiements de la plateforme.</w:t>
      </w:r>
    </w:p>
    <w:p>
      <w:pPr>
        <w:pStyle w:val="Heading3"/>
        <w:spacing w:after="120" w:before="240"/>
      </w:pPr>
      <w:r>
        <w:rPr>
          <w:rFonts w:ascii="Iowan Old Style" w:cs="Iowan Old Style" w:eastAsia="Iowan Old Style" w:hAnsi="Iowan Old Style"/>
          <w:b/>
          <w:bCs/>
          <w:sz w:val="24"/>
          <w:szCs w:val="24"/>
        </w:rPr>
        <w:t xml:space="preserve">Calibration des verdicts</w:t>
      </w:r>
    </w:p>
    <w:p>
      <w:pPr>
        <w:spacing w:after="160"/>
        <w:jc w:val="both"/>
      </w:pPr>
      <w:r>
        <w:rPr>
          <w:rFonts w:ascii="Charter" w:cs="Charter" w:eastAsia="Charter" w:hAnsi="Charter"/>
          <w:b/>
          <w:bCs/>
          <w:sz w:val="22"/>
          <w:szCs w:val="22"/>
        </w:rPr>
        <w:t xml:space="preserve">Investir : score global supérieur à 75 sur 100. </w:t>
      </w:r>
      <w:r>
        <w:rPr>
          <w:rFonts w:ascii="Charter" w:cs="Charter" w:eastAsia="Charter" w:hAnsi="Charter"/>
          <w:sz w:val="22"/>
          <w:szCs w:val="22"/>
        </w:rPr>
        <w:t xml:space="preserve">Justification : Strebulaev sur la loi de puissance. Le verdict investir doit être rare et exigeant pour correspondre statistiquement à la queue extrême.</w:t>
      </w:r>
    </w:p>
    <w:p>
      <w:pPr>
        <w:spacing w:after="160"/>
        <w:jc w:val="both"/>
      </w:pPr>
      <w:r>
        <w:rPr>
          <w:rFonts w:ascii="Charter" w:cs="Charter" w:eastAsia="Charter" w:hAnsi="Charter"/>
          <w:b/>
          <w:bCs/>
          <w:sz w:val="22"/>
          <w:szCs w:val="22"/>
        </w:rPr>
        <w:t xml:space="preserve">Investir avec conditions : score 60 à 74. </w:t>
      </w:r>
      <w:r>
        <w:rPr>
          <w:rFonts w:ascii="Charter" w:cs="Charter" w:eastAsia="Charter" w:hAnsi="Charter"/>
          <w:sz w:val="22"/>
          <w:szCs w:val="22"/>
        </w:rPr>
        <w:t xml:space="preserve">Justification : zone de probabilité non nulle d'atteindre la queue extrême, mais avec conditions structurelles à respecter.</w:t>
      </w:r>
    </w:p>
    <w:p>
      <w:pPr>
        <w:spacing w:after="160"/>
        <w:jc w:val="both"/>
      </w:pPr>
      <w:r>
        <w:rPr>
          <w:rFonts w:ascii="Charter" w:cs="Charter" w:eastAsia="Charter" w:hAnsi="Charter"/>
          <w:b/>
          <w:bCs/>
          <w:sz w:val="22"/>
          <w:szCs w:val="22"/>
        </w:rPr>
        <w:t xml:space="preserve">Approfondir : score 45 à 59. </w:t>
      </w:r>
      <w:r>
        <w:rPr>
          <w:rFonts w:ascii="Charter" w:cs="Charter" w:eastAsia="Charter" w:hAnsi="Charter"/>
          <w:sz w:val="22"/>
          <w:szCs w:val="22"/>
        </w:rPr>
        <w:t xml:space="preserve">Justification : zone de doute légitime, instruction supplémentaire requise par opérateurs lift-the-hood.</w:t>
      </w:r>
    </w:p>
    <w:p>
      <w:pPr>
        <w:spacing w:after="160"/>
        <w:jc w:val="both"/>
      </w:pPr>
      <w:r>
        <w:rPr>
          <w:rFonts w:ascii="Charter" w:cs="Charter" w:eastAsia="Charter" w:hAnsi="Charter"/>
          <w:b/>
          <w:bCs/>
          <w:sz w:val="22"/>
          <w:szCs w:val="22"/>
        </w:rPr>
        <w:t xml:space="preserve">Refuser : score inférieur à 45. </w:t>
      </w:r>
      <w:r>
        <w:rPr>
          <w:rFonts w:ascii="Charter" w:cs="Charter" w:eastAsia="Charter" w:hAnsi="Charter"/>
          <w:sz w:val="22"/>
          <w:szCs w:val="22"/>
        </w:rPr>
        <w:t xml:space="preserve">Justification : la plupart des dossiers tombent dans cette catégorie statistiquement (deux tiers des startups VC-backed n'atteignent pas un exit positif, Eisenmann). Le verdict refuser doit être abondant.</w:t>
      </w:r>
    </w:p>
    <w:p>
      <w:pPr>
        <w:pBdr>
          <w:left w:val="single" w:color="1F2D3D" w:sz="24" w:space="12"/>
        </w:pBdr>
        <w:shd w:fill="F4F4ED" w:val="clear"/>
        <w:spacing w:after="80" w:before="120"/>
        <w:ind w:left="360" w:right="360"/>
      </w:pPr>
      <w:r>
        <w:rPr>
          <w:rFonts w:ascii="Charter" w:cs="Charter" w:eastAsia="Charter" w:hAnsi="Charter"/>
          <w:b/>
          <w:bCs/>
          <w:sz w:val="21"/>
          <w:szCs w:val="21"/>
        </w:rPr>
        <w:t xml:space="preserve">Calibration de l'orchestrateur</w:t>
      </w:r>
    </w:p>
    <w:p>
      <w:pPr>
        <w:pStyle w:val="ListParagraph"/>
        <w:numPr>
          <w:ilvl w:val="0"/>
          <w:numId w:val="2"/>
        </w:numPr>
        <w:spacing w:after="80"/>
      </w:pPr>
      <w:r>
        <w:rPr>
          <w:rFonts w:ascii="Charter" w:cs="Charter" w:eastAsia="Charter" w:hAnsi="Charter"/>
          <w:sz w:val="22"/>
          <w:szCs w:val="22"/>
        </w:rPr>
        <w:t xml:space="preserve">Pondération hiérarchique inspirée des hiérarchies prédictives académiques, pas de l'intuition VC standard.</w:t>
      </w:r>
    </w:p>
    <w:p>
      <w:pPr>
        <w:pStyle w:val="ListParagraph"/>
        <w:numPr>
          <w:ilvl w:val="0"/>
          <w:numId w:val="2"/>
        </w:numPr>
        <w:spacing w:after="80"/>
      </w:pPr>
      <w:r>
        <w:rPr>
          <w:rFonts w:ascii="Charter" w:cs="Charter" w:eastAsia="Charter" w:hAnsi="Charter"/>
          <w:sz w:val="22"/>
          <w:szCs w:val="22"/>
        </w:rPr>
        <w:t xml:space="preserve">Verdict investir rare et exigeant (score &gt;75).</w:t>
      </w:r>
    </w:p>
    <w:p>
      <w:pPr>
        <w:pStyle w:val="ListParagraph"/>
        <w:numPr>
          <w:ilvl w:val="0"/>
          <w:numId w:val="2"/>
        </w:numPr>
        <w:spacing w:after="80"/>
      </w:pPr>
      <w:r>
        <w:rPr>
          <w:rFonts w:ascii="Charter" w:cs="Charter" w:eastAsia="Charter" w:hAnsi="Charter"/>
          <w:sz w:val="22"/>
          <w:szCs w:val="22"/>
        </w:rPr>
        <w:t xml:space="preserve">Verdict refuser abondant statistiquement cohérent avec la loi de puissance.</w:t>
      </w:r>
    </w:p>
    <w:p>
      <w:pPr>
        <w:pStyle w:val="ListParagraph"/>
        <w:numPr>
          <w:ilvl w:val="0"/>
          <w:numId w:val="2"/>
        </w:numPr>
        <w:spacing w:after="80"/>
      </w:pPr>
      <w:r>
        <w:rPr>
          <w:rFonts w:ascii="Charter" w:cs="Charter" w:eastAsia="Charter" w:hAnsi="Charter"/>
          <w:sz w:val="22"/>
          <w:szCs w:val="22"/>
        </w:rPr>
        <w:t xml:space="preserve">Conditions clés pour le verdict investir avec conditions actionnables et négociables.</w:t>
      </w:r>
    </w:p>
    <w:p>
      <w:r>
        <w:br w:type="page"/>
      </w:r>
    </w:p>
    <w:p>
      <w:pPr>
        <w:pStyle w:val="Heading1"/>
        <w:spacing w:after="240" w:before="480"/>
      </w:pPr>
      <w:r>
        <w:rPr>
          <w:rFonts w:ascii="Iowan Old Style" w:cs="Iowan Old Style" w:eastAsia="Iowan Old Style" w:hAnsi="Iowan Old Style"/>
          <w:b/>
          <w:bCs/>
          <w:sz w:val="36"/>
          <w:szCs w:val="36"/>
        </w:rPr>
        <w:t xml:space="preserve">Neuvième partie</w:t>
      </w:r>
    </w:p>
    <w:p>
      <w:pPr>
        <w:pStyle w:val="Heading2"/>
        <w:spacing w:after="180" w:before="360"/>
      </w:pPr>
      <w:r>
        <w:rPr>
          <w:rFonts w:ascii="Iowan Old Style" w:cs="Iowan Old Style" w:eastAsia="Iowan Old Style" w:hAnsi="Iowan Old Style"/>
          <w:b/>
          <w:bCs/>
          <w:sz w:val="28"/>
          <w:szCs w:val="28"/>
        </w:rPr>
        <w:t xml:space="preserve">Moteurs à construire</w:t>
      </w:r>
    </w:p>
    <w:p>
      <w:pPr>
        <w:spacing w:after="160"/>
        <w:jc w:val="both"/>
      </w:pPr>
      <w:r>
        <w:rPr>
          <w:rFonts w:ascii="Charter" w:cs="Charter" w:eastAsia="Charter" w:hAnsi="Charter"/>
          <w:sz w:val="22"/>
          <w:szCs w:val="22"/>
        </w:rPr>
        <w:t xml:space="preserve">Cinq moteurs supplémentaires sont prévus pour porter la plateforme de sept à douze moteurs. Cette section donne la calibration académique de chacun.</w:t>
      </w:r>
    </w:p>
    <w:p>
      <w:pPr>
        <w:pStyle w:val="Heading3"/>
        <w:spacing w:after="120" w:before="240"/>
      </w:pPr>
      <w:r>
        <w:rPr>
          <w:rFonts w:ascii="Iowan Old Style" w:cs="Iowan Old Style" w:eastAsia="Iowan Old Style" w:hAnsi="Iowan Old Style"/>
          <w:b/>
          <w:bCs/>
          <w:sz w:val="24"/>
          <w:szCs w:val="24"/>
        </w:rPr>
        <w:t xml:space="preserve">Moteur 8 — Produit et technologie</w:t>
      </w:r>
    </w:p>
    <w:p>
      <w:pPr>
        <w:spacing w:after="160"/>
        <w:jc w:val="both"/>
      </w:pPr>
      <w:r>
        <w:rPr>
          <w:rFonts w:ascii="Charter" w:cs="Charter" w:eastAsia="Charter" w:hAnsi="Charter"/>
          <w:sz w:val="22"/>
          <w:szCs w:val="22"/>
        </w:rPr>
        <w:t xml:space="preserve">Calibration centrale : Eisenmann 2020 identifie cinq dimensions explicatives de la performance early-stage, dont customer value proposition et opérations. Le moteur produit doit instrumenter la maturité technique réelle (vélocité de release, qualité d'exécution observable, dépendances aux modèles tiers, propriété intellectuelle protégeable). Branchement sur GitHub releases et commits pour les sociétés tech, USPTO/EPO pour les brevets.</w:t>
      </w:r>
    </w:p>
    <w:p>
      <w:pPr>
        <w:pStyle w:val="Heading3"/>
        <w:spacing w:after="120" w:before="240"/>
      </w:pPr>
      <w:r>
        <w:rPr>
          <w:rFonts w:ascii="Iowan Old Style" w:cs="Iowan Old Style" w:eastAsia="Iowan Old Style" w:hAnsi="Iowan Old Style"/>
          <w:b/>
          <w:bCs/>
          <w:sz w:val="24"/>
          <w:szCs w:val="24"/>
        </w:rPr>
        <w:t xml:space="preserve">Moteur 9 — Traction et métriques</w:t>
      </w:r>
    </w:p>
    <w:p>
      <w:pPr>
        <w:spacing w:after="160"/>
        <w:jc w:val="both"/>
      </w:pPr>
      <w:r>
        <w:rPr>
          <w:rFonts w:ascii="Charter" w:cs="Charter" w:eastAsia="Charter" w:hAnsi="Charter"/>
          <w:sz w:val="22"/>
          <w:szCs w:val="22"/>
        </w:rPr>
        <w:t xml:space="preserve">Calibration centrale : Skok et Tunguz sur les seuils prédictifs. Brian Balfour sur l'alignement MPCM. Andrew Chen sur la croissance organique versus payée. Le moteur de traction doit demander explicitement les courbes de rétention par cohorte mensuelle, vérifier l'alignement Market-Product-Channel-Model, et privilégier les signaux organiques mesurables sur les KPIs déclarés.</w:t>
      </w:r>
    </w:p>
    <w:p>
      <w:pPr>
        <w:pStyle w:val="Heading3"/>
        <w:spacing w:after="120" w:before="240"/>
      </w:pPr>
      <w:r>
        <w:rPr>
          <w:rFonts w:ascii="Iowan Old Style" w:cs="Iowan Old Style" w:eastAsia="Iowan Old Style" w:hAnsi="Iowan Old Style"/>
          <w:b/>
          <w:bCs/>
          <w:sz w:val="24"/>
          <w:szCs w:val="24"/>
        </w:rPr>
        <w:t xml:space="preserve">Moteur 10 — Modèle économique et unit economics</w:t>
      </w:r>
    </w:p>
    <w:p>
      <w:pPr>
        <w:spacing w:after="160"/>
        <w:jc w:val="both"/>
      </w:pPr>
      <w:r>
        <w:rPr>
          <w:rFonts w:ascii="Charter" w:cs="Charter" w:eastAsia="Charter" w:hAnsi="Charter"/>
          <w:sz w:val="22"/>
          <w:szCs w:val="22"/>
        </w:rPr>
        <w:t xml:space="preserve">Calibration centrale : seuils LTV/CAC &gt; 3, payback &lt; 18 mois, NRR &gt; 100% (Skok, Tunguz). Concentration client &gt; 30% comme red flag. Sous-pricing comme signal d'échec, pas comme stratégie (Patrick Campbell ProfitWell).</w:t>
      </w:r>
    </w:p>
    <w:p>
      <w:pPr>
        <w:spacing w:after="140"/>
        <w:ind w:left="360"/>
        <w:jc w:val="both"/>
      </w:pPr>
      <w:r>
        <w:rPr>
          <w:rFonts w:ascii="Charter" w:cs="Charter" w:eastAsia="Charter" w:hAnsi="Charter"/>
          <w:b/>
          <w:bCs/>
          <w:color w:val="8C6D2C"/>
          <w:sz w:val="22"/>
          <w:szCs w:val="22"/>
        </w:rPr>
        <w:t xml:space="preserve">◇ </w:t>
      </w:r>
      <w:r>
        <w:rPr>
          <w:rFonts w:ascii="Charter" w:cs="Charter" w:eastAsia="Charter" w:hAnsi="Charter"/>
          <w:b/>
          <w:bCs/>
          <w:sz w:val="21"/>
          <w:szCs w:val="21"/>
        </w:rPr>
        <w:t xml:space="preserve">Ofek, Libai, Muller — Harvard Business School (2023, à confirmer)</w:t>
      </w:r>
      <w:r>
        <w:rPr>
          <w:rFonts w:ascii="Charter" w:cs="Charter" w:eastAsia="Charter" w:hAnsi="Charter"/>
          <w:sz w:val="21"/>
          <w:szCs w:val="21"/>
        </w:rPr>
        <w:t xml:space="preserve"> — Modélisation quantitative du ratio LTV/CAC sur cohortes multi-annuelles. Si le payback period dépasse 12 mois, la probabilité d'échec par manque de cash-flow augmenterait significativement. Une amélioration de 5% de la rétention des cohortes augmenterait la valeur de l'entreprise de 25% à 95%.</w:t>
      </w:r>
    </w:p>
    <w:p>
      <w:pPr>
        <w:pStyle w:val="Heading3"/>
        <w:spacing w:after="120" w:before="240"/>
      </w:pPr>
      <w:r>
        <w:rPr>
          <w:rFonts w:ascii="Iowan Old Style" w:cs="Iowan Old Style" w:eastAsia="Iowan Old Style" w:hAnsi="Iowan Old Style"/>
          <w:b/>
          <w:bCs/>
          <w:sz w:val="24"/>
          <w:szCs w:val="24"/>
        </w:rPr>
        <w:t xml:space="preserve">Moteur 11 — Cap table et tour de financement</w:t>
      </w:r>
    </w:p>
    <w:p>
      <w:pPr>
        <w:spacing w:after="160"/>
        <w:jc w:val="both"/>
      </w:pPr>
      <w:r>
        <w:rPr>
          <w:rFonts w:ascii="Charter" w:cs="Charter" w:eastAsia="Charter" w:hAnsi="Charter"/>
          <w:sz w:val="22"/>
          <w:szCs w:val="22"/>
        </w:rPr>
        <w:t xml:space="preserve">Calibration centrale : Pollman 2023 sur la gouvernance comme signal faible majeur. Birkinshaw 2025 (à confirmer) sur le seuil de 60% des droits de vote post-Series C. Le moteur cap table doit interroger l'indépendance du board, les droits de vote des fondateurs, les conditions du term sheet (préférences de liquidation, anti-dilution, drag-along, tag-along), et les conditions de vesting des fondateurs.</w:t>
      </w:r>
    </w:p>
    <w:p>
      <w:pPr>
        <w:pStyle w:val="Heading3"/>
        <w:spacing w:after="120" w:before="240"/>
      </w:pPr>
      <w:r>
        <w:rPr>
          <w:rFonts w:ascii="Iowan Old Style" w:cs="Iowan Old Style" w:eastAsia="Iowan Old Style" w:hAnsi="Iowan Old Style"/>
          <w:b/>
          <w:bCs/>
          <w:sz w:val="24"/>
          <w:szCs w:val="24"/>
        </w:rPr>
        <w:t xml:space="preserve">Moteur 12 — Risques et angles morts systémiques</w:t>
      </w:r>
    </w:p>
    <w:p>
      <w:pPr>
        <w:spacing w:after="160"/>
        <w:jc w:val="both"/>
      </w:pPr>
      <w:r>
        <w:rPr>
          <w:rFonts w:ascii="Charter" w:cs="Charter" w:eastAsia="Charter" w:hAnsi="Charter"/>
          <w:sz w:val="22"/>
          <w:szCs w:val="22"/>
        </w:rPr>
        <w:t xml:space="preserve">Calibration centrale : six patterns d'échec d'Eisenmann (Good Idea Bad Bedfellows, False Start, False Promise, Speed Trap, Help Wanted, Cascading Miracles). Scaling prématuré comme cause de mortalité majeure (Startup Genome). Lessons from Theranos (Das et al. 2022) : signaux faibles dans le deeptech (absence de validation indépendante, secret excessif, board prestigieux mais peu technique, culture anti-contradiction).</w:t>
      </w:r>
    </w:p>
    <w:p>
      <w:pPr>
        <w:pStyle w:val="Heading3"/>
        <w:spacing w:after="120" w:before="240"/>
      </w:pPr>
      <w:r>
        <w:rPr>
          <w:rFonts w:ascii="Iowan Old Style" w:cs="Iowan Old Style" w:eastAsia="Iowan Old Style" w:hAnsi="Iowan Old Style"/>
          <w:b/>
          <w:bCs/>
          <w:sz w:val="24"/>
          <w:szCs w:val="24"/>
        </w:rPr>
        <w:t xml:space="preserve">Moteur 13 — Cohérence narrative globale</w:t>
      </w:r>
    </w:p>
    <w:p>
      <w:pPr>
        <w:spacing w:after="160"/>
        <w:jc w:val="both"/>
      </w:pPr>
      <w:r>
        <w:rPr>
          <w:rFonts w:ascii="Charter" w:cs="Charter" w:eastAsia="Charter" w:hAnsi="Charter"/>
          <w:sz w:val="22"/>
          <w:szCs w:val="22"/>
        </w:rPr>
        <w:t xml:space="preserve">Calibration centrale : alignement structurel entre vision affichée et choix d'exécution observables. Recrutements alignés avec la stratégie. Pricing cohérent avec le marché ciblé. Tour demandé cohérent avec les milestones. Ce moteur synthétise les outputs des douze précédents pour produire un score d'alignement global.</w:t>
      </w:r>
    </w:p>
    <w:p>
      <w:r>
        <w:br w:type="page"/>
      </w:r>
    </w:p>
    <w:p>
      <w:pPr>
        <w:pStyle w:val="Heading1"/>
        <w:spacing w:after="240" w:before="480"/>
      </w:pPr>
      <w:r>
        <w:rPr>
          <w:rFonts w:ascii="Iowan Old Style" w:cs="Iowan Old Style" w:eastAsia="Iowan Old Style" w:hAnsi="Iowan Old Style"/>
          <w:b/>
          <w:bCs/>
          <w:sz w:val="36"/>
          <w:szCs w:val="36"/>
        </w:rPr>
        <w:t xml:space="preserve">Dixième partie</w:t>
      </w:r>
    </w:p>
    <w:p>
      <w:pPr>
        <w:pStyle w:val="Heading2"/>
        <w:spacing w:after="180" w:before="360"/>
      </w:pPr>
      <w:r>
        <w:rPr>
          <w:rFonts w:ascii="Iowan Old Style" w:cs="Iowan Old Style" w:eastAsia="Iowan Old Style" w:hAnsi="Iowan Old Style"/>
          <w:b/>
          <w:bCs/>
          <w:sz w:val="28"/>
          <w:szCs w:val="28"/>
        </w:rPr>
        <w:t xml:space="preserve">Synthèse des seuils chiffrés à calibrer</w:t>
      </w:r>
    </w:p>
    <w:p>
      <w:pPr>
        <w:spacing w:after="160"/>
        <w:jc w:val="both"/>
      </w:pPr>
      <w:r>
        <w:rPr>
          <w:rFonts w:ascii="Charter" w:cs="Charter" w:eastAsia="Charter" w:hAnsi="Charter"/>
          <w:sz w:val="22"/>
          <w:szCs w:val="22"/>
        </w:rPr>
        <w:t xml:space="preserve">Cette section consolide les seuils chiffrés extraits de la veille académique, à intégrer comme calibrations directes dans les system prompts des moteurs.</w:t>
      </w:r>
    </w:p>
    <w:p>
      <w:pPr>
        <w:pStyle w:val="Heading3"/>
        <w:spacing w:after="120" w:before="240"/>
      </w:pPr>
      <w:r>
        <w:rPr>
          <w:rFonts w:ascii="Iowan Old Style" w:cs="Iowan Old Style" w:eastAsia="Iowan Old Style" w:hAnsi="Iowan Old Style"/>
          <w:b/>
          <w:bCs/>
          <w:sz w:val="24"/>
          <w:szCs w:val="24"/>
        </w:rPr>
        <w:t xml:space="preserve">Seuils équipe</w:t>
      </w:r>
    </w:p>
    <w:p>
      <w:pPr>
        <w:pStyle w:val="ListParagraph"/>
        <w:numPr>
          <w:ilvl w:val="0"/>
          <w:numId w:val="2"/>
        </w:numPr>
        <w:spacing w:after="80"/>
      </w:pPr>
      <w:r>
        <w:rPr>
          <w:rFonts w:ascii="Charter" w:cs="Charter" w:eastAsia="Charter" w:hAnsi="Charter"/>
          <w:sz w:val="22"/>
          <w:szCs w:val="22"/>
        </w:rPr>
        <w:t xml:space="preserve">Âge optimal de l'équipe : 40 à 50 ans (Azoulay et al. 2020 : top 0,1% à 45 ans).</w:t>
      </w:r>
    </w:p>
    <w:p>
      <w:pPr>
        <w:pStyle w:val="ListParagraph"/>
        <w:numPr>
          <w:ilvl w:val="0"/>
          <w:numId w:val="2"/>
        </w:numPr>
        <w:spacing w:after="80"/>
      </w:pPr>
      <w:r>
        <w:rPr>
          <w:rFonts w:ascii="Charter" w:cs="Charter" w:eastAsia="Charter" w:hAnsi="Charter"/>
          <w:sz w:val="22"/>
          <w:szCs w:val="22"/>
        </w:rPr>
        <w:t xml:space="preserve">Expérience sectorielle optimale : 5 à 12 ans. Au-delà, rigidité (Roach &amp; Sauermann).</w:t>
      </w:r>
    </w:p>
    <w:p>
      <w:pPr>
        <w:pStyle w:val="ListParagraph"/>
        <w:numPr>
          <w:ilvl w:val="0"/>
          <w:numId w:val="2"/>
        </w:numPr>
        <w:spacing w:after="80"/>
      </w:pPr>
      <w:r>
        <w:rPr>
          <w:rFonts w:ascii="Charter" w:cs="Charter" w:eastAsia="Charter" w:hAnsi="Charter"/>
          <w:sz w:val="22"/>
          <w:szCs w:val="22"/>
        </w:rPr>
        <w:t xml:space="preserve">Track record : un serial founder qui a déjà réussi a 30% de chances de réussir, contre 21% pour un primo-founder (Gompers et al. 2010).</w:t>
      </w:r>
    </w:p>
    <w:p>
      <w:pPr>
        <w:pStyle w:val="ListParagraph"/>
        <w:numPr>
          <w:ilvl w:val="0"/>
          <w:numId w:val="2"/>
        </w:numPr>
        <w:spacing w:after="80"/>
      </w:pPr>
      <w:r>
        <w:rPr>
          <w:rFonts w:ascii="Charter" w:cs="Charter" w:eastAsia="Charter" w:hAnsi="Charter"/>
          <w:sz w:val="22"/>
          <w:szCs w:val="22"/>
        </w:rPr>
        <w:t xml:space="preserve">Complémentarité : duo technique-business augmente les chances d'exit de 34% (Andrews 2024).</w:t>
      </w:r>
    </w:p>
    <w:p>
      <w:pPr>
        <w:pStyle w:val="ListParagraph"/>
        <w:numPr>
          <w:ilvl w:val="0"/>
          <w:numId w:val="2"/>
        </w:numPr>
        <w:spacing w:after="80"/>
      </w:pPr>
      <w:r>
        <w:rPr>
          <w:rFonts w:ascii="Charter" w:cs="Charter" w:eastAsia="Charter" w:hAnsi="Charter"/>
          <w:sz w:val="22"/>
          <w:szCs w:val="22"/>
        </w:rPr>
        <w:t xml:space="preserve">Collaboration antérieure : cofondateurs ayant déjà travaillé ensemble dans une grande entreprise ont un taux de succès supérieur de 18% (Andrews 2024).</w:t>
      </w:r>
    </w:p>
    <w:p>
      <w:pPr>
        <w:pStyle w:val="Heading3"/>
        <w:spacing w:after="120" w:before="240"/>
      </w:pPr>
      <w:r>
        <w:rPr>
          <w:rFonts w:ascii="Iowan Old Style" w:cs="Iowan Old Style" w:eastAsia="Iowan Old Style" w:hAnsi="Iowan Old Style"/>
          <w:b/>
          <w:bCs/>
          <w:sz w:val="24"/>
          <w:szCs w:val="24"/>
        </w:rPr>
        <w:t xml:space="preserve">Seuils marché</w:t>
      </w:r>
    </w:p>
    <w:p>
      <w:pPr>
        <w:pStyle w:val="ListParagraph"/>
        <w:numPr>
          <w:ilvl w:val="0"/>
          <w:numId w:val="2"/>
        </w:numPr>
        <w:spacing w:after="80"/>
      </w:pPr>
      <w:r>
        <w:rPr>
          <w:rFonts w:ascii="Charter" w:cs="Charter" w:eastAsia="Charter" w:hAnsi="Charter"/>
          <w:sz w:val="22"/>
          <w:szCs w:val="22"/>
        </w:rPr>
        <w:t xml:space="preserve">Sean Ellis Test : plus de 40% d'utilisateurs très déçus de perdre le produit indique un PMF.</w:t>
      </w:r>
    </w:p>
    <w:p>
      <w:pPr>
        <w:pStyle w:val="ListParagraph"/>
        <w:numPr>
          <w:ilvl w:val="0"/>
          <w:numId w:val="2"/>
        </w:numPr>
        <w:spacing w:after="80"/>
      </w:pPr>
      <w:r>
        <w:rPr>
          <w:rFonts w:ascii="Charter" w:cs="Charter" w:eastAsia="Charter" w:hAnsi="Charter"/>
          <w:sz w:val="22"/>
          <w:szCs w:val="22"/>
        </w:rPr>
        <w:t xml:space="preserve">Densité concurrentielle : zone optimale en U inversé, fragmentation modérée (Gnyawali &amp; Madhavan).</w:t>
      </w:r>
    </w:p>
    <w:p>
      <w:pPr>
        <w:pStyle w:val="Heading3"/>
        <w:spacing w:after="120" w:before="240"/>
      </w:pPr>
      <w:r>
        <w:rPr>
          <w:rFonts w:ascii="Iowan Old Style" w:cs="Iowan Old Style" w:eastAsia="Iowan Old Style" w:hAnsi="Iowan Old Style"/>
          <w:b/>
          <w:bCs/>
          <w:sz w:val="24"/>
          <w:szCs w:val="24"/>
        </w:rPr>
        <w:t xml:space="preserve">Seuils unit economics</w:t>
      </w:r>
    </w:p>
    <w:p>
      <w:pPr>
        <w:pStyle w:val="ListParagraph"/>
        <w:numPr>
          <w:ilvl w:val="0"/>
          <w:numId w:val="2"/>
        </w:numPr>
        <w:spacing w:after="80"/>
      </w:pPr>
      <w:r>
        <w:rPr>
          <w:rFonts w:ascii="Charter" w:cs="Charter" w:eastAsia="Charter" w:hAnsi="Charter"/>
          <w:sz w:val="22"/>
          <w:szCs w:val="22"/>
        </w:rPr>
        <w:t xml:space="preserve">LTV/CAC supérieur à 3.</w:t>
      </w:r>
    </w:p>
    <w:p>
      <w:pPr>
        <w:pStyle w:val="ListParagraph"/>
        <w:numPr>
          <w:ilvl w:val="0"/>
          <w:numId w:val="2"/>
        </w:numPr>
        <w:spacing w:after="80"/>
      </w:pPr>
      <w:r>
        <w:rPr>
          <w:rFonts w:ascii="Charter" w:cs="Charter" w:eastAsia="Charter" w:hAnsi="Charter"/>
          <w:sz w:val="22"/>
          <w:szCs w:val="22"/>
        </w:rPr>
        <w:t xml:space="preserve">Payback period inférieur à 12 mois (idéal) ou 18 mois (acceptable).</w:t>
      </w:r>
    </w:p>
    <w:p>
      <w:pPr>
        <w:pStyle w:val="ListParagraph"/>
        <w:numPr>
          <w:ilvl w:val="0"/>
          <w:numId w:val="2"/>
        </w:numPr>
        <w:spacing w:after="80"/>
      </w:pPr>
      <w:r>
        <w:rPr>
          <w:rFonts w:ascii="Charter" w:cs="Charter" w:eastAsia="Charter" w:hAnsi="Charter"/>
          <w:sz w:val="22"/>
          <w:szCs w:val="22"/>
        </w:rPr>
        <w:t xml:space="preserve">Net revenue retention supérieur à 100% (idéalement 110-120%).</w:t>
      </w:r>
    </w:p>
    <w:p>
      <w:pPr>
        <w:pStyle w:val="ListParagraph"/>
        <w:numPr>
          <w:ilvl w:val="0"/>
          <w:numId w:val="2"/>
        </w:numPr>
        <w:spacing w:after="80"/>
      </w:pPr>
      <w:r>
        <w:rPr>
          <w:rFonts w:ascii="Charter" w:cs="Charter" w:eastAsia="Charter" w:hAnsi="Charter"/>
          <w:sz w:val="22"/>
          <w:szCs w:val="22"/>
        </w:rPr>
        <w:t xml:space="preserve">Gross retention supérieur à 90%.</w:t>
      </w:r>
    </w:p>
    <w:p>
      <w:pPr>
        <w:pStyle w:val="ListParagraph"/>
        <w:numPr>
          <w:ilvl w:val="0"/>
          <w:numId w:val="2"/>
        </w:numPr>
        <w:spacing w:after="80"/>
      </w:pPr>
      <w:r>
        <w:rPr>
          <w:rFonts w:ascii="Charter" w:cs="Charter" w:eastAsia="Charter" w:hAnsi="Charter"/>
          <w:sz w:val="22"/>
          <w:szCs w:val="22"/>
        </w:rPr>
        <w:t xml:space="preserve">Magic number supérieur à 0,7.</w:t>
      </w:r>
    </w:p>
    <w:p>
      <w:pPr>
        <w:pStyle w:val="Heading3"/>
        <w:spacing w:after="120" w:before="240"/>
      </w:pPr>
      <w:r>
        <w:rPr>
          <w:rFonts w:ascii="Iowan Old Style" w:cs="Iowan Old Style" w:eastAsia="Iowan Old Style" w:hAnsi="Iowan Old Style"/>
          <w:b/>
          <w:bCs/>
          <w:sz w:val="24"/>
          <w:szCs w:val="24"/>
        </w:rPr>
        <w:t xml:space="preserve">Seuils de risque</w:t>
      </w:r>
    </w:p>
    <w:p>
      <w:pPr>
        <w:pStyle w:val="ListParagraph"/>
        <w:numPr>
          <w:ilvl w:val="0"/>
          <w:numId w:val="2"/>
        </w:numPr>
        <w:spacing w:after="80"/>
      </w:pPr>
      <w:r>
        <w:rPr>
          <w:rFonts w:ascii="Charter" w:cs="Charter" w:eastAsia="Charter" w:hAnsi="Charter"/>
          <w:sz w:val="22"/>
          <w:szCs w:val="22"/>
        </w:rPr>
        <w:t xml:space="preserve">Concentration client : top 10% des clients représentant plus de 30% du revenu = red flag.</w:t>
      </w:r>
    </w:p>
    <w:p>
      <w:pPr>
        <w:pStyle w:val="ListParagraph"/>
        <w:numPr>
          <w:ilvl w:val="0"/>
          <w:numId w:val="2"/>
        </w:numPr>
        <w:spacing w:after="80"/>
      </w:pPr>
      <w:r>
        <w:rPr>
          <w:rFonts w:ascii="Charter" w:cs="Charter" w:eastAsia="Charter" w:hAnsi="Charter"/>
          <w:sz w:val="22"/>
          <w:szCs w:val="22"/>
        </w:rPr>
        <w:t xml:space="preserve">Concentration client : plus de 50% du revenu = dealbreaker pour la plupart des fonds.</w:t>
      </w:r>
    </w:p>
    <w:p>
      <w:pPr>
        <w:pStyle w:val="ListParagraph"/>
        <w:numPr>
          <w:ilvl w:val="0"/>
          <w:numId w:val="2"/>
        </w:numPr>
        <w:spacing w:after="80"/>
      </w:pPr>
      <w:r>
        <w:rPr>
          <w:rFonts w:ascii="Charter" w:cs="Charter" w:eastAsia="Charter" w:hAnsi="Charter"/>
          <w:sz w:val="22"/>
          <w:szCs w:val="22"/>
        </w:rPr>
        <w:t xml:space="preserve">Droits de vote du fondateur post-Series C : plus de 60% = signal d'alerte (Birkinshaw 2025, à confirmer).</w:t>
      </w:r>
    </w:p>
    <w:p>
      <w:pPr>
        <w:pStyle w:val="ListParagraph"/>
        <w:numPr>
          <w:ilvl w:val="0"/>
          <w:numId w:val="2"/>
        </w:numPr>
        <w:spacing w:after="80"/>
      </w:pPr>
      <w:r>
        <w:rPr>
          <w:rFonts w:ascii="Charter" w:cs="Charter" w:eastAsia="Charter" w:hAnsi="Charter"/>
          <w:sz w:val="22"/>
          <w:szCs w:val="22"/>
        </w:rPr>
        <w:t xml:space="preserve">Indépendance du board : moins d'un administrateur indépendant = signal d'alerte (Pollman 2023).</w:t>
      </w:r>
    </w:p>
    <w:p>
      <w:pPr>
        <w:pStyle w:val="Heading3"/>
        <w:spacing w:after="120" w:before="240"/>
      </w:pPr>
      <w:r>
        <w:rPr>
          <w:rFonts w:ascii="Iowan Old Style" w:cs="Iowan Old Style" w:eastAsia="Iowan Old Style" w:hAnsi="Iowan Old Style"/>
          <w:b/>
          <w:bCs/>
          <w:sz w:val="24"/>
          <w:szCs w:val="24"/>
        </w:rPr>
        <w:t xml:space="preserve">Seuils macro</w:t>
      </w:r>
    </w:p>
    <w:p>
      <w:pPr>
        <w:pStyle w:val="ListParagraph"/>
        <w:numPr>
          <w:ilvl w:val="0"/>
          <w:numId w:val="2"/>
        </w:numPr>
        <w:spacing w:after="80"/>
      </w:pPr>
      <w:r>
        <w:rPr>
          <w:rFonts w:ascii="Charter" w:cs="Charter" w:eastAsia="Charter" w:hAnsi="Charter"/>
          <w:sz w:val="22"/>
          <w:szCs w:val="22"/>
        </w:rPr>
        <w:t xml:space="preserve">Pondération du timing dans le score global : 25 à 30% (Bill Gross 42%, ajusté à la baisse pour équilibrage).</w:t>
      </w:r>
    </w:p>
    <w:p>
      <w:pPr>
        <w:pStyle w:val="ListParagraph"/>
        <w:numPr>
          <w:ilvl w:val="0"/>
          <w:numId w:val="2"/>
        </w:numPr>
        <w:spacing w:after="80"/>
      </w:pPr>
      <w:r>
        <w:rPr>
          <w:rFonts w:ascii="Charter" w:cs="Charter" w:eastAsia="Charter" w:hAnsi="Charter"/>
          <w:sz w:val="22"/>
          <w:szCs w:val="22"/>
        </w:rPr>
        <w:t xml:space="preserve">Capital VC européen sur le segment : sous-pondération (par rapport aux États-Unis) interprétée comme fenêtre contracyclique potentielle.</w:t>
      </w:r>
    </w:p>
    <w:p>
      <w:pPr>
        <w:pStyle w:val="ListParagraph"/>
        <w:numPr>
          <w:ilvl w:val="0"/>
          <w:numId w:val="2"/>
        </w:numPr>
        <w:spacing w:after="80"/>
      </w:pPr>
      <w:r>
        <w:rPr>
          <w:rFonts w:ascii="Charter" w:cs="Charter" w:eastAsia="Charter" w:hAnsi="Charter"/>
          <w:sz w:val="22"/>
          <w:szCs w:val="22"/>
        </w:rPr>
        <w:t xml:space="preserve">Efficacité capital européen : 2,5x revenus par dollar levé (Atomico 2025) à utiliser comme calibration relative.</w:t>
      </w:r>
    </w:p>
    <w:p>
      <w:pPr>
        <w:pStyle w:val="Heading3"/>
        <w:spacing w:after="120" w:before="240"/>
      </w:pPr>
      <w:r>
        <w:rPr>
          <w:rFonts w:ascii="Iowan Old Style" w:cs="Iowan Old Style" w:eastAsia="Iowan Old Style" w:hAnsi="Iowan Old Style"/>
          <w:b/>
          <w:bCs/>
          <w:sz w:val="24"/>
          <w:szCs w:val="24"/>
        </w:rPr>
        <w:t xml:space="preserve">Seuils du verdict global</w:t>
      </w:r>
    </w:p>
    <w:p>
      <w:pPr>
        <w:pStyle w:val="ListParagraph"/>
        <w:numPr>
          <w:ilvl w:val="0"/>
          <w:numId w:val="2"/>
        </w:numPr>
        <w:spacing w:after="80"/>
      </w:pPr>
      <w:r>
        <w:rPr>
          <w:rFonts w:ascii="Charter" w:cs="Charter" w:eastAsia="Charter" w:hAnsi="Charter"/>
          <w:sz w:val="22"/>
          <w:szCs w:val="22"/>
        </w:rPr>
        <w:t xml:space="preserve">Investir : score supérieur à 75.</w:t>
      </w:r>
    </w:p>
    <w:p>
      <w:pPr>
        <w:pStyle w:val="ListParagraph"/>
        <w:numPr>
          <w:ilvl w:val="0"/>
          <w:numId w:val="2"/>
        </w:numPr>
        <w:spacing w:after="80"/>
      </w:pPr>
      <w:r>
        <w:rPr>
          <w:rFonts w:ascii="Charter" w:cs="Charter" w:eastAsia="Charter" w:hAnsi="Charter"/>
          <w:sz w:val="22"/>
          <w:szCs w:val="22"/>
        </w:rPr>
        <w:t xml:space="preserve">Investir avec conditions : score 60 à 74.</w:t>
      </w:r>
    </w:p>
    <w:p>
      <w:pPr>
        <w:pStyle w:val="ListParagraph"/>
        <w:numPr>
          <w:ilvl w:val="0"/>
          <w:numId w:val="2"/>
        </w:numPr>
        <w:spacing w:after="80"/>
      </w:pPr>
      <w:r>
        <w:rPr>
          <w:rFonts w:ascii="Charter" w:cs="Charter" w:eastAsia="Charter" w:hAnsi="Charter"/>
          <w:sz w:val="22"/>
          <w:szCs w:val="22"/>
        </w:rPr>
        <w:t xml:space="preserve">Approfondir : score 45 à 59.</w:t>
      </w:r>
    </w:p>
    <w:p>
      <w:pPr>
        <w:pStyle w:val="ListParagraph"/>
        <w:numPr>
          <w:ilvl w:val="0"/>
          <w:numId w:val="2"/>
        </w:numPr>
        <w:spacing w:after="80"/>
      </w:pPr>
      <w:r>
        <w:rPr>
          <w:rFonts w:ascii="Charter" w:cs="Charter" w:eastAsia="Charter" w:hAnsi="Charter"/>
          <w:sz w:val="22"/>
          <w:szCs w:val="22"/>
        </w:rPr>
        <w:t xml:space="preserve">Refuser : score inférieur à 45.</w:t>
      </w:r>
    </w:p>
    <w:p>
      <w:r>
        <w:t xml:space="preserve"/>
      </w:r>
    </w:p>
    <w:p>
      <w:r>
        <w:t xml:space="preserve"/>
      </w:r>
    </w:p>
    <w:p>
      <w:pPr>
        <w:pStyle w:val="Heading1"/>
        <w:spacing w:after="240" w:before="480"/>
      </w:pPr>
      <w:r>
        <w:rPr>
          <w:rFonts w:ascii="Iowan Old Style" w:cs="Iowan Old Style" w:eastAsia="Iowan Old Style" w:hAnsi="Iowan Old Style"/>
          <w:b/>
          <w:bCs/>
          <w:sz w:val="36"/>
          <w:szCs w:val="36"/>
        </w:rPr>
        <w:t xml:space="preserve">Annexe bibliographique</w:t>
      </w:r>
    </w:p>
    <w:p>
      <w:pPr>
        <w:spacing w:after="160"/>
        <w:jc w:val="both"/>
      </w:pPr>
      <w:r>
        <w:rPr>
          <w:rFonts w:ascii="Charter" w:cs="Charter" w:eastAsia="Charter" w:hAnsi="Charter"/>
          <w:sz w:val="22"/>
          <w:szCs w:val="22"/>
        </w:rPr>
        <w:t xml:space="preserve">Liste consolidée des références citées dans ce document, organisée par niveau de fiabilité.</w:t>
      </w:r>
    </w:p>
    <w:p>
      <w:pPr>
        <w:pStyle w:val="Heading3"/>
        <w:spacing w:after="120" w:before="240"/>
      </w:pPr>
      <w:r>
        <w:rPr>
          <w:rFonts w:ascii="Iowan Old Style" w:cs="Iowan Old Style" w:eastAsia="Iowan Old Style" w:hAnsi="Iowan Old Style"/>
          <w:b/>
          <w:bCs/>
          <w:sz w:val="24"/>
          <w:szCs w:val="24"/>
        </w:rPr>
        <w:t xml:space="preserve">Académique solide (peer-reviewed, grands échantillons)</w:t>
      </w:r>
    </w:p>
    <w:p>
      <w:pPr>
        <w:pStyle w:val="ListParagraph"/>
        <w:numPr>
          <w:ilvl w:val="0"/>
          <w:numId w:val="2"/>
        </w:numPr>
        <w:spacing w:after="80"/>
      </w:pPr>
      <w:r>
        <w:rPr>
          <w:rFonts w:ascii="Charter" w:cs="Charter" w:eastAsia="Charter" w:hAnsi="Charter"/>
          <w:sz w:val="22"/>
          <w:szCs w:val="22"/>
        </w:rPr>
        <w:t xml:space="preserve">Azoulay P., Jones B., Kim J. D., Miranda J. (2020). Age and High-Growth Entrepreneurship. American Economic Review: Insights.</w:t>
      </w:r>
    </w:p>
    <w:p>
      <w:pPr>
        <w:pStyle w:val="ListParagraph"/>
        <w:numPr>
          <w:ilvl w:val="0"/>
          <w:numId w:val="2"/>
        </w:numPr>
        <w:spacing w:after="80"/>
      </w:pPr>
      <w:r>
        <w:rPr>
          <w:rFonts w:ascii="Charter" w:cs="Charter" w:eastAsia="Charter" w:hAnsi="Charter"/>
          <w:sz w:val="22"/>
          <w:szCs w:val="22"/>
        </w:rPr>
        <w:t xml:space="preserve">Brooks A., Huang L., Kearney S., Murray F. (2014). Investors Prefer Entrepreneurial Ventures Pitched by Attractive Men. PNAS.</w:t>
      </w:r>
    </w:p>
    <w:p>
      <w:pPr>
        <w:pStyle w:val="ListParagraph"/>
        <w:numPr>
          <w:ilvl w:val="0"/>
          <w:numId w:val="2"/>
        </w:numPr>
        <w:spacing w:after="80"/>
      </w:pPr>
      <w:r>
        <w:rPr>
          <w:rFonts w:ascii="Charter" w:cs="Charter" w:eastAsia="Charter" w:hAnsi="Charter"/>
          <w:sz w:val="22"/>
          <w:szCs w:val="22"/>
        </w:rPr>
        <w:t xml:space="preserve">Christensen C., Cook S., Hall T. (2005-2016). Travaux Jobs to Be Done. Harvard Business School.</w:t>
      </w:r>
    </w:p>
    <w:p>
      <w:pPr>
        <w:pStyle w:val="ListParagraph"/>
        <w:numPr>
          <w:ilvl w:val="0"/>
          <w:numId w:val="2"/>
        </w:numPr>
        <w:spacing w:after="80"/>
      </w:pPr>
      <w:r>
        <w:rPr>
          <w:rFonts w:ascii="Charter" w:cs="Charter" w:eastAsia="Charter" w:hAnsi="Charter"/>
          <w:sz w:val="22"/>
          <w:szCs w:val="22"/>
        </w:rPr>
        <w:t xml:space="preserve">Eisenmann T. (2020). Determinants of Early-Stage Startup Performance: Survey Results. Harvard Business School.</w:t>
      </w:r>
    </w:p>
    <w:p>
      <w:pPr>
        <w:pStyle w:val="ListParagraph"/>
        <w:numPr>
          <w:ilvl w:val="0"/>
          <w:numId w:val="2"/>
        </w:numPr>
        <w:spacing w:after="80"/>
      </w:pPr>
      <w:r>
        <w:rPr>
          <w:rFonts w:ascii="Charter" w:cs="Charter" w:eastAsia="Charter" w:hAnsi="Charter"/>
          <w:sz w:val="22"/>
          <w:szCs w:val="22"/>
        </w:rPr>
        <w:t xml:space="preserve">Eisenmann T. (2021). Why Start-ups Fail. Harvard Business School / Currency.</w:t>
      </w:r>
    </w:p>
    <w:p>
      <w:pPr>
        <w:pStyle w:val="ListParagraph"/>
        <w:numPr>
          <w:ilvl w:val="0"/>
          <w:numId w:val="2"/>
        </w:numPr>
        <w:spacing w:after="80"/>
      </w:pPr>
      <w:r>
        <w:rPr>
          <w:rFonts w:ascii="Charter" w:cs="Charter" w:eastAsia="Charter" w:hAnsi="Charter"/>
          <w:sz w:val="22"/>
          <w:szCs w:val="22"/>
        </w:rPr>
        <w:t xml:space="preserve">Gompers P., Gornall W., Kaplan S., Strebulaev I. (2016). How Do Venture Capitalists Make Decisions? NBER Working Paper.</w:t>
      </w:r>
    </w:p>
    <w:p>
      <w:pPr>
        <w:pStyle w:val="ListParagraph"/>
        <w:numPr>
          <w:ilvl w:val="0"/>
          <w:numId w:val="2"/>
        </w:numPr>
        <w:spacing w:after="80"/>
      </w:pPr>
      <w:r>
        <w:rPr>
          <w:rFonts w:ascii="Charter" w:cs="Charter" w:eastAsia="Charter" w:hAnsi="Charter"/>
          <w:sz w:val="22"/>
          <w:szCs w:val="22"/>
        </w:rPr>
        <w:t xml:space="preserve">Gompers P., Kovner A., Lerner J., Scharfstein D. (2010). Performance Persistence in Entrepreneurship. Journal of Financial Economics.</w:t>
      </w:r>
    </w:p>
    <w:p>
      <w:pPr>
        <w:pStyle w:val="ListParagraph"/>
        <w:numPr>
          <w:ilvl w:val="0"/>
          <w:numId w:val="2"/>
        </w:numPr>
        <w:spacing w:after="80"/>
      </w:pPr>
      <w:r>
        <w:rPr>
          <w:rFonts w:ascii="Charter" w:cs="Charter" w:eastAsia="Charter" w:hAnsi="Charter"/>
          <w:sz w:val="22"/>
          <w:szCs w:val="22"/>
        </w:rPr>
        <w:t xml:space="preserve">Kanze D., Huang L., Conley M., Higgins T. (2018). We Ask Men to Win and Women Not to Lose. Academy of Management Journal.</w:t>
      </w:r>
    </w:p>
    <w:p>
      <w:pPr>
        <w:pStyle w:val="ListParagraph"/>
        <w:numPr>
          <w:ilvl w:val="0"/>
          <w:numId w:val="2"/>
        </w:numPr>
        <w:spacing w:after="80"/>
      </w:pPr>
      <w:r>
        <w:rPr>
          <w:rFonts w:ascii="Charter" w:cs="Charter" w:eastAsia="Charter" w:hAnsi="Charter"/>
          <w:sz w:val="22"/>
          <w:szCs w:val="22"/>
        </w:rPr>
        <w:t xml:space="preserve">Kaplan S., Klebanov M., Sørensen M. (2008). Which CEO Characteristics and Abilities Matter? Chicago Booth / Columbia.</w:t>
      </w:r>
    </w:p>
    <w:p>
      <w:pPr>
        <w:pStyle w:val="ListParagraph"/>
        <w:numPr>
          <w:ilvl w:val="0"/>
          <w:numId w:val="2"/>
        </w:numPr>
        <w:spacing w:after="80"/>
      </w:pPr>
      <w:r>
        <w:rPr>
          <w:rFonts w:ascii="Charter" w:cs="Charter" w:eastAsia="Charter" w:hAnsi="Charter"/>
          <w:sz w:val="22"/>
          <w:szCs w:val="22"/>
        </w:rPr>
        <w:t xml:space="preserve">Kaplan S., Sørensen M. (2017). Are CEOs Different? Characteristics of Top Managers. NBER.</w:t>
      </w:r>
    </w:p>
    <w:p>
      <w:pPr>
        <w:pStyle w:val="ListParagraph"/>
        <w:numPr>
          <w:ilvl w:val="0"/>
          <w:numId w:val="2"/>
        </w:numPr>
        <w:spacing w:after="80"/>
      </w:pPr>
      <w:r>
        <w:rPr>
          <w:rFonts w:ascii="Charter" w:cs="Charter" w:eastAsia="Charter" w:hAnsi="Charter"/>
          <w:sz w:val="22"/>
          <w:szCs w:val="22"/>
        </w:rPr>
        <w:t xml:space="preserve">McCarthy et al. (2023). Founder Personality and Entrepreneurial Outcomes. PNAS.</w:t>
      </w:r>
    </w:p>
    <w:p>
      <w:pPr>
        <w:pStyle w:val="ListParagraph"/>
        <w:numPr>
          <w:ilvl w:val="0"/>
          <w:numId w:val="2"/>
        </w:numPr>
        <w:spacing w:after="80"/>
      </w:pPr>
      <w:r>
        <w:rPr>
          <w:rFonts w:ascii="Charter" w:cs="Charter" w:eastAsia="Charter" w:hAnsi="Charter"/>
          <w:sz w:val="22"/>
          <w:szCs w:val="22"/>
        </w:rPr>
        <w:t xml:space="preserve">Pollman E. (2023). Startup Failure. University of Pennsylvania.</w:t>
      </w:r>
    </w:p>
    <w:p>
      <w:pPr>
        <w:pStyle w:val="ListParagraph"/>
        <w:numPr>
          <w:ilvl w:val="0"/>
          <w:numId w:val="2"/>
        </w:numPr>
        <w:spacing w:after="80"/>
      </w:pPr>
      <w:r>
        <w:rPr>
          <w:rFonts w:ascii="Charter" w:cs="Charter" w:eastAsia="Charter" w:hAnsi="Charter"/>
          <w:sz w:val="22"/>
          <w:szCs w:val="22"/>
        </w:rPr>
        <w:t xml:space="preserve">Wasserman N. (2012). The Founder's Dilemmas. Harvard Business School / Princeton.</w:t>
      </w:r>
    </w:p>
    <w:p>
      <w:pPr>
        <w:pStyle w:val="Heading3"/>
        <w:spacing w:after="120" w:before="240"/>
      </w:pPr>
      <w:r>
        <w:rPr>
          <w:rFonts w:ascii="Iowan Old Style" w:cs="Iowan Old Style" w:eastAsia="Iowan Old Style" w:hAnsi="Iowan Old Style"/>
          <w:b/>
          <w:bCs/>
          <w:sz w:val="24"/>
          <w:szCs w:val="24"/>
        </w:rPr>
        <w:t xml:space="preserve">Académique avec limites</w:t>
      </w:r>
    </w:p>
    <w:p>
      <w:pPr>
        <w:pStyle w:val="ListParagraph"/>
        <w:numPr>
          <w:ilvl w:val="0"/>
          <w:numId w:val="2"/>
        </w:numPr>
        <w:spacing w:after="80"/>
      </w:pPr>
      <w:r>
        <w:rPr>
          <w:rFonts w:ascii="Charter" w:cs="Charter" w:eastAsia="Charter" w:hAnsi="Charter"/>
          <w:sz w:val="22"/>
          <w:szCs w:val="22"/>
        </w:rPr>
        <w:t xml:space="preserve">Andrews M. G. (2024, à confirmer en version peer-reviewed finale). The Human Capital of Startup Teams. Stanford / NBER.</w:t>
      </w:r>
    </w:p>
    <w:p>
      <w:pPr>
        <w:pStyle w:val="ListParagraph"/>
        <w:numPr>
          <w:ilvl w:val="0"/>
          <w:numId w:val="2"/>
        </w:numPr>
        <w:spacing w:after="80"/>
      </w:pPr>
      <w:r>
        <w:rPr>
          <w:rFonts w:ascii="Charter" w:cs="Charter" w:eastAsia="Charter" w:hAnsi="Charter"/>
          <w:sz w:val="22"/>
          <w:szCs w:val="22"/>
        </w:rPr>
        <w:t xml:space="preserve">Birkinshaw J. (2025, à confirmer). Governance and Failure in Unicorns. London Business School.</w:t>
      </w:r>
    </w:p>
    <w:p>
      <w:pPr>
        <w:pStyle w:val="ListParagraph"/>
        <w:numPr>
          <w:ilvl w:val="0"/>
          <w:numId w:val="2"/>
        </w:numPr>
        <w:spacing w:after="80"/>
      </w:pPr>
      <w:r>
        <w:rPr>
          <w:rFonts w:ascii="Charter" w:cs="Charter" w:eastAsia="Charter" w:hAnsi="Charter"/>
          <w:sz w:val="22"/>
          <w:szCs w:val="22"/>
        </w:rPr>
        <w:t xml:space="preserve">Cassar G. (2014). Industry and Start-up Experience on Entrepreneur Forecast Performance.</w:t>
      </w:r>
    </w:p>
    <w:p>
      <w:pPr>
        <w:pStyle w:val="ListParagraph"/>
        <w:numPr>
          <w:ilvl w:val="0"/>
          <w:numId w:val="2"/>
        </w:numPr>
        <w:spacing w:after="80"/>
      </w:pPr>
      <w:r>
        <w:rPr>
          <w:rFonts w:ascii="Charter" w:cs="Charter" w:eastAsia="Charter" w:hAnsi="Charter"/>
          <w:sz w:val="22"/>
          <w:szCs w:val="22"/>
        </w:rPr>
        <w:t xml:space="preserve">Das et al. (2022). Lessons from Theranos.</w:t>
      </w:r>
    </w:p>
    <w:p>
      <w:pPr>
        <w:pStyle w:val="ListParagraph"/>
        <w:numPr>
          <w:ilvl w:val="0"/>
          <w:numId w:val="2"/>
        </w:numPr>
        <w:spacing w:after="80"/>
      </w:pPr>
      <w:r>
        <w:rPr>
          <w:rFonts w:ascii="Charter" w:cs="Charter" w:eastAsia="Charter" w:hAnsi="Charter"/>
          <w:sz w:val="22"/>
          <w:szCs w:val="22"/>
        </w:rPr>
        <w:t xml:space="preserve">Kirsch D., Goldfarb B., Gera A. (2009). Form or Substance: The Role of Business Plans in Venture Capital Decision Making. University of Maryland.</w:t>
      </w:r>
    </w:p>
    <w:p>
      <w:pPr>
        <w:pStyle w:val="ListParagraph"/>
        <w:numPr>
          <w:ilvl w:val="0"/>
          <w:numId w:val="2"/>
        </w:numPr>
        <w:spacing w:after="80"/>
      </w:pPr>
      <w:r>
        <w:rPr>
          <w:rFonts w:ascii="Charter" w:cs="Charter" w:eastAsia="Charter" w:hAnsi="Charter"/>
          <w:sz w:val="22"/>
          <w:szCs w:val="22"/>
        </w:rPr>
        <w:t xml:space="preserve">Ofek E., Libai B., Muller E. (2023, à confirmer). On CUE: The Quest for Optimal Customer Unit Economics. Harvard Business School.</w:t>
      </w:r>
    </w:p>
    <w:p>
      <w:pPr>
        <w:pStyle w:val="ListParagraph"/>
        <w:numPr>
          <w:ilvl w:val="0"/>
          <w:numId w:val="2"/>
        </w:numPr>
        <w:spacing w:after="80"/>
      </w:pPr>
      <w:r>
        <w:rPr>
          <w:rFonts w:ascii="Charter" w:cs="Charter" w:eastAsia="Charter" w:hAnsi="Charter"/>
          <w:sz w:val="22"/>
          <w:szCs w:val="22"/>
        </w:rPr>
        <w:t xml:space="preserve">Roach M., Sauermann H. (2015). Founder-market fit empirical study.</w:t>
      </w:r>
    </w:p>
    <w:p>
      <w:pPr>
        <w:pStyle w:val="ListParagraph"/>
        <w:numPr>
          <w:ilvl w:val="0"/>
          <w:numId w:val="2"/>
        </w:numPr>
        <w:spacing w:after="80"/>
      </w:pPr>
      <w:r>
        <w:rPr>
          <w:rFonts w:ascii="Charter" w:cs="Charter" w:eastAsia="Charter" w:hAnsi="Charter"/>
          <w:sz w:val="22"/>
          <w:szCs w:val="22"/>
        </w:rPr>
        <w:t xml:space="preserve">Vazirani A. et al. (2023). Information Signals and Bias in Investment Decisions, méta-analyse.</w:t>
      </w:r>
    </w:p>
    <w:p>
      <w:pPr>
        <w:pStyle w:val="ListParagraph"/>
        <w:numPr>
          <w:ilvl w:val="0"/>
          <w:numId w:val="2"/>
        </w:numPr>
        <w:spacing w:after="80"/>
      </w:pPr>
      <w:r>
        <w:rPr>
          <w:rFonts w:ascii="Charter" w:cs="Charter" w:eastAsia="Charter" w:hAnsi="Charter"/>
          <w:sz w:val="22"/>
          <w:szCs w:val="22"/>
        </w:rPr>
        <w:t xml:space="preserve">Werner B. (2025, à confirmer). European Tech Efficiency Report. INSEAD / Dealroom.</w:t>
      </w:r>
    </w:p>
    <w:p>
      <w:pPr>
        <w:pStyle w:val="ListParagraph"/>
        <w:numPr>
          <w:ilvl w:val="0"/>
          <w:numId w:val="2"/>
        </w:numPr>
        <w:spacing w:after="80"/>
      </w:pPr>
      <w:r>
        <w:rPr>
          <w:rFonts w:ascii="Charter" w:cs="Charter" w:eastAsia="Charter" w:hAnsi="Charter"/>
          <w:sz w:val="22"/>
          <w:szCs w:val="22"/>
        </w:rPr>
        <w:t xml:space="preserve">Wessels D. (2024, à confirmer). Domain Expertise and Innovation Trajectories. Wharton.</w:t>
      </w:r>
    </w:p>
    <w:p>
      <w:pPr>
        <w:pStyle w:val="Heading3"/>
        <w:spacing w:after="120" w:before="240"/>
      </w:pPr>
      <w:r>
        <w:rPr>
          <w:rFonts w:ascii="Iowan Old Style" w:cs="Iowan Old Style" w:eastAsia="Iowan Old Style" w:hAnsi="Iowan Old Style"/>
          <w:b/>
          <w:bCs/>
          <w:sz w:val="24"/>
          <w:szCs w:val="24"/>
        </w:rPr>
        <w:t xml:space="preserve">Rapports marché et benchmarks</w:t>
      </w:r>
    </w:p>
    <w:p>
      <w:pPr>
        <w:pStyle w:val="ListParagraph"/>
        <w:numPr>
          <w:ilvl w:val="0"/>
          <w:numId w:val="2"/>
        </w:numPr>
        <w:spacing w:after="80"/>
      </w:pPr>
      <w:r>
        <w:rPr>
          <w:rFonts w:ascii="Charter" w:cs="Charter" w:eastAsia="Charter" w:hAnsi="Charter"/>
          <w:sz w:val="22"/>
          <w:szCs w:val="22"/>
        </w:rPr>
        <w:t xml:space="preserve">Atomico (2025). State of European Tech 2025.</w:t>
      </w:r>
    </w:p>
    <w:p>
      <w:pPr>
        <w:pStyle w:val="ListParagraph"/>
        <w:numPr>
          <w:ilvl w:val="0"/>
          <w:numId w:val="2"/>
        </w:numPr>
        <w:spacing w:after="80"/>
      </w:pPr>
      <w:r>
        <w:rPr>
          <w:rFonts w:ascii="Charter" w:cs="Charter" w:eastAsia="Charter" w:hAnsi="Charter"/>
          <w:sz w:val="22"/>
          <w:szCs w:val="22"/>
        </w:rPr>
        <w:t xml:space="preserve">Bessemer Venture Partners. Cloud benchmarks annuels (2014-2024).</w:t>
      </w:r>
    </w:p>
    <w:p>
      <w:pPr>
        <w:pStyle w:val="ListParagraph"/>
        <w:numPr>
          <w:ilvl w:val="0"/>
          <w:numId w:val="2"/>
        </w:numPr>
        <w:spacing w:after="80"/>
      </w:pPr>
      <w:r>
        <w:rPr>
          <w:rFonts w:ascii="Charter" w:cs="Charter" w:eastAsia="Charter" w:hAnsi="Charter"/>
          <w:sz w:val="22"/>
          <w:szCs w:val="22"/>
        </w:rPr>
        <w:t xml:space="preserve">Bill Gross (2015). The Single Biggest Reason Why Startups Succeed. TED Talk et analyses.</w:t>
      </w:r>
    </w:p>
    <w:p>
      <w:pPr>
        <w:pStyle w:val="ListParagraph"/>
        <w:numPr>
          <w:ilvl w:val="0"/>
          <w:numId w:val="2"/>
        </w:numPr>
        <w:spacing w:after="80"/>
      </w:pPr>
      <w:r>
        <w:rPr>
          <w:rFonts w:ascii="Charter" w:cs="Charter" w:eastAsia="Charter" w:hAnsi="Charter"/>
          <w:sz w:val="22"/>
          <w:szCs w:val="22"/>
        </w:rPr>
        <w:t xml:space="preserve">CB Insights. Startup Failure Post-Mortems et Top Reasons Why Startups Fail (2018-2024).</w:t>
      </w:r>
    </w:p>
    <w:p>
      <w:pPr>
        <w:pStyle w:val="ListParagraph"/>
        <w:numPr>
          <w:ilvl w:val="0"/>
          <w:numId w:val="2"/>
        </w:numPr>
        <w:spacing w:after="80"/>
      </w:pPr>
      <w:r>
        <w:rPr>
          <w:rFonts w:ascii="Charter" w:cs="Charter" w:eastAsia="Charter" w:hAnsi="Charter"/>
          <w:sz w:val="22"/>
          <w:szCs w:val="22"/>
        </w:rPr>
        <w:t xml:space="preserve">Andrew Chen (a16z) (2017-2024). The Law of Shitty Clickthroughs et travaux dérivés.</w:t>
      </w:r>
    </w:p>
    <w:p>
      <w:pPr>
        <w:pStyle w:val="ListParagraph"/>
        <w:numPr>
          <w:ilvl w:val="0"/>
          <w:numId w:val="2"/>
        </w:numPr>
        <w:spacing w:after="80"/>
      </w:pPr>
      <w:r>
        <w:rPr>
          <w:rFonts w:ascii="Charter" w:cs="Charter" w:eastAsia="Charter" w:hAnsi="Charter"/>
          <w:sz w:val="22"/>
          <w:szCs w:val="22"/>
        </w:rPr>
        <w:t xml:space="preserve">Brian Balfour (Reforge) (2017-2024). Travaux sur l'alignement Market-Product-Channel-Model.</w:t>
      </w:r>
    </w:p>
    <w:p>
      <w:pPr>
        <w:pStyle w:val="ListParagraph"/>
        <w:numPr>
          <w:ilvl w:val="0"/>
          <w:numId w:val="2"/>
        </w:numPr>
        <w:spacing w:after="80"/>
      </w:pPr>
      <w:r>
        <w:rPr>
          <w:rFonts w:ascii="Charter" w:cs="Charter" w:eastAsia="Charter" w:hAnsi="Charter"/>
          <w:sz w:val="22"/>
          <w:szCs w:val="22"/>
        </w:rPr>
        <w:t xml:space="preserve">Dealroom / Paris ecosystem (2025).</w:t>
      </w:r>
    </w:p>
    <w:p>
      <w:pPr>
        <w:pStyle w:val="ListParagraph"/>
        <w:numPr>
          <w:ilvl w:val="0"/>
          <w:numId w:val="2"/>
        </w:numPr>
        <w:spacing w:after="80"/>
      </w:pPr>
      <w:r>
        <w:rPr>
          <w:rFonts w:ascii="Charter" w:cs="Charter" w:eastAsia="Charter" w:hAnsi="Charter"/>
          <w:sz w:val="22"/>
          <w:szCs w:val="22"/>
        </w:rPr>
        <w:t xml:space="preserve">European Parliament Research Service (2025). Scaling up European innovation.</w:t>
      </w:r>
    </w:p>
    <w:p>
      <w:pPr>
        <w:pStyle w:val="ListParagraph"/>
        <w:numPr>
          <w:ilvl w:val="0"/>
          <w:numId w:val="2"/>
        </w:numPr>
        <w:spacing w:after="80"/>
      </w:pPr>
      <w:r>
        <w:rPr>
          <w:rFonts w:ascii="Charter" w:cs="Charter" w:eastAsia="Charter" w:hAnsi="Charter"/>
          <w:sz w:val="22"/>
          <w:szCs w:val="22"/>
        </w:rPr>
        <w:t xml:space="preserve">HEC Paris (2025). Next40/120.</w:t>
      </w:r>
    </w:p>
    <w:p>
      <w:pPr>
        <w:pStyle w:val="ListParagraph"/>
        <w:numPr>
          <w:ilvl w:val="0"/>
          <w:numId w:val="2"/>
        </w:numPr>
        <w:spacing w:after="80"/>
      </w:pPr>
      <w:r>
        <w:rPr>
          <w:rFonts w:ascii="Charter" w:cs="Charter" w:eastAsia="Charter" w:hAnsi="Charter"/>
          <w:sz w:val="22"/>
          <w:szCs w:val="22"/>
        </w:rPr>
        <w:t xml:space="preserve">Patrick Campbell (ProfitWell) (2015-2024). Travaux empiriques sur le pricing SaaS.</w:t>
      </w:r>
    </w:p>
    <w:p>
      <w:pPr>
        <w:pStyle w:val="ListParagraph"/>
        <w:numPr>
          <w:ilvl w:val="0"/>
          <w:numId w:val="2"/>
        </w:numPr>
        <w:spacing w:after="80"/>
      </w:pPr>
      <w:r>
        <w:rPr>
          <w:rFonts w:ascii="Charter" w:cs="Charter" w:eastAsia="Charter" w:hAnsi="Charter"/>
          <w:sz w:val="22"/>
          <w:szCs w:val="22"/>
        </w:rPr>
        <w:t xml:space="preserve">Sean Ellis (2007-2010). Sean Ellis Test.</w:t>
      </w:r>
    </w:p>
    <w:p>
      <w:pPr>
        <w:pStyle w:val="ListParagraph"/>
        <w:numPr>
          <w:ilvl w:val="0"/>
          <w:numId w:val="2"/>
        </w:numPr>
        <w:spacing w:after="80"/>
      </w:pPr>
      <w:r>
        <w:rPr>
          <w:rFonts w:ascii="Charter" w:cs="Charter" w:eastAsia="Charter" w:hAnsi="Charter"/>
          <w:sz w:val="22"/>
          <w:szCs w:val="22"/>
        </w:rPr>
        <w:t xml:space="preserve">David Skok (Matrix Partners) (2010-2024). Travaux fondateurs sur les unit economics SaaS.</w:t>
      </w:r>
    </w:p>
    <w:p>
      <w:pPr>
        <w:pStyle w:val="ListParagraph"/>
        <w:numPr>
          <w:ilvl w:val="0"/>
          <w:numId w:val="2"/>
        </w:numPr>
        <w:spacing w:after="80"/>
      </w:pPr>
      <w:r>
        <w:rPr>
          <w:rFonts w:ascii="Charter" w:cs="Charter" w:eastAsia="Charter" w:hAnsi="Charter"/>
          <w:sz w:val="22"/>
          <w:szCs w:val="22"/>
        </w:rPr>
        <w:t xml:space="preserve">Startup Genome. Global Startup Ecosystem Reports annuels.</w:t>
      </w:r>
    </w:p>
    <w:p>
      <w:pPr>
        <w:pStyle w:val="ListParagraph"/>
        <w:numPr>
          <w:ilvl w:val="0"/>
          <w:numId w:val="2"/>
        </w:numPr>
        <w:spacing w:after="80"/>
      </w:pPr>
      <w:r>
        <w:rPr>
          <w:rFonts w:ascii="Charter" w:cs="Charter" w:eastAsia="Charter" w:hAnsi="Charter"/>
          <w:sz w:val="22"/>
          <w:szCs w:val="22"/>
        </w:rPr>
        <w:t xml:space="preserve">Strebulaev I. (Stanford GSB). Venture Capital Initiative (2020-2025).</w:t>
      </w:r>
    </w:p>
    <w:p>
      <w:pPr>
        <w:pStyle w:val="ListParagraph"/>
        <w:numPr>
          <w:ilvl w:val="0"/>
          <w:numId w:val="2"/>
        </w:numPr>
        <w:spacing w:after="80"/>
      </w:pPr>
      <w:r>
        <w:rPr>
          <w:rFonts w:ascii="Charter" w:cs="Charter" w:eastAsia="Charter" w:hAnsi="Charter"/>
          <w:sz w:val="22"/>
          <w:szCs w:val="22"/>
        </w:rPr>
        <w:t xml:space="preserve">Tomasz Tunguz (Redpoint Ventures) (2015-2024). Benchmarks SaaS.</w:t>
      </w:r>
    </w:p>
    <w:p>
      <w:r>
        <w:t xml:space="preserve"/>
      </w:r>
    </w:p>
    <w:p>
      <w:r>
        <w:t xml:space="preserve"/>
      </w:r>
    </w:p>
    <w:p>
      <w:pPr>
        <w:spacing w:before="480"/>
        <w:jc w:val="center"/>
      </w:pPr>
      <w:r>
        <w:rPr>
          <w:rFonts w:ascii="Charter" w:cs="Charter" w:eastAsia="Charter" w:hAnsi="Charter"/>
          <w:i/>
          <w:iCs/>
          <w:color w:val="888888"/>
          <w:sz w:val="18"/>
          <w:szCs w:val="18"/>
        </w:rPr>
        <w:t xml:space="preserve">Fin du document v0.2 · Concorde Ventures · Avril 2026</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harter" w:cs="Charter" w:eastAsia="Charter" w:hAnsi="Char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Iowan Old Style" w:cs="Iowan Old Style" w:eastAsia="Iowan Old Style" w:hAnsi="Iowan Old Style"/>
      <w:b/>
      <w:bCs/>
      <w:sz w:val="36"/>
      <w:szCs w:val="36"/>
    </w:rPr>
  </w:style>
  <w:style w:type="paragraph" w:styleId="Heading2">
    <w:name w:val="Heading 2"/>
    <w:basedOn w:val="Normal"/>
    <w:next w:val="Normal"/>
    <w:qFormat/>
    <w:pPr>
      <w:spacing w:after="180" w:before="360"/>
      <w:outlineLvl w:val="1"/>
    </w:pPr>
    <w:rPr>
      <w:rFonts w:ascii="Iowan Old Style" w:cs="Iowan Old Style" w:eastAsia="Iowan Old Style" w:hAnsi="Iowan Old Style"/>
      <w:b/>
      <w:bCs/>
      <w:sz w:val="28"/>
      <w:szCs w:val="28"/>
    </w:rPr>
  </w:style>
  <w:style w:type="paragraph" w:styleId="Heading3">
    <w:name w:val="Heading 3"/>
    <w:basedOn w:val="Normal"/>
    <w:next w:val="Normal"/>
    <w:qFormat/>
    <w:pPr>
      <w:spacing w:after="120" w:before="240"/>
      <w:outlineLvl w:val="2"/>
    </w:pPr>
    <w:rPr>
      <w:rFonts w:ascii="Iowan Old Style" w:cs="Iowan Old Style" w:eastAsia="Iowan Old Style" w:hAnsi="Iowan Old Styl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2026-04-30T05:02:17.493Z</dcterms:created>
  <dcterms:modified xsi:type="dcterms:W3CDTF">2026-04-30T05:02:17.494Z</dcterms:modified>
</cp:coreProperties>
</file>

<file path=docProps/custom.xml><?xml version="1.0" encoding="utf-8"?>
<Properties xmlns="http://schemas.openxmlformats.org/officeDocument/2006/custom-properties" xmlns:vt="http://schemas.openxmlformats.org/officeDocument/2006/docPropsVTypes"/>
</file>