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56"/>
          <w:szCs w:val="56"/>
        </w:rPr>
        <w:t xml:space="preserve">PULSAR</w:t>
      </w:r>
    </w:p>
    <w:p>
      <w:pPr>
        <w:spacing w:after="200"/>
        <w:jc w:val="center"/>
      </w:pPr>
      <w:r>
        <w:rPr>
          <w:rFonts w:ascii="Arial" w:cs="Arial" w:eastAsia="Arial" w:hAnsi="Arial"/>
          <w:color w:val="2E4057"/>
          <w:sz w:val="32"/>
          <w:szCs w:val="32"/>
        </w:rPr>
        <w:t xml:space="preserve">ENRICHISSEMENT BENCHMARK SCIENTIFIQUE</w:t>
      </w:r>
    </w:p>
    <w:p>
      <w:pPr>
        <w:spacing w:after="100"/>
        <w:jc w:val="center"/>
      </w:pPr>
      <w:r>
        <w:rPr>
          <w:rFonts w:ascii="Arial" w:cs="Arial" w:eastAsia="Arial" w:hAnsi="Arial"/>
          <w:color w:val="3A6B8C"/>
          <w:sz w:val="24"/>
          <w:szCs w:val="24"/>
        </w:rPr>
        <w:t xml:space="preserve">Familles pathologiques PIMS/MIS-C + MOGAD/ADEM</w:t>
      </w:r>
    </w:p>
    <w:p>
      <w:pPr>
        <w:spacing w:after="60"/>
      </w:pPr>
    </w:p>
    <w:p>
      <w:pPr>
        <w:spacing w:after="100"/>
        <w:jc w:val="center"/>
      </w:pPr>
      <w:r>
        <w:rPr>
          <w:rFonts w:ascii="Arial" w:cs="Arial" w:eastAsia="Arial" w:hAnsi="Arial"/>
          <w:i/>
          <w:iCs/>
          <w:color w:val="666666"/>
          <w:sz w:val="22"/>
          <w:szCs w:val="22"/>
        </w:rPr>
        <w:t xml:space="preserve">Complément au PULSAR_BENCHMARK_SCIENTIFIQUE V1</w:t>
      </w:r>
    </w:p>
    <w:p>
      <w:pPr>
        <w:jc w:val="center"/>
      </w:pPr>
      <w:r>
        <w:rPr>
          <w:rFonts w:ascii="Arial" w:cs="Arial" w:eastAsia="Arial" w:hAnsi="Arial"/>
          <w:color w:val="666666"/>
          <w:sz w:val="22"/>
          <w:szCs w:val="22"/>
        </w:rPr>
        <w:t xml:space="preserve">Février 2026 | Données exclusivement vérifiées</w:t>
      </w:r>
    </w:p>
    <w:p>
      <w:r>
        <w:br w:type="page"/>
      </w:r>
    </w:p>
    <w:p>
      <w:pPr>
        <w:pStyle w:val="Heading1"/>
        <w:spacing w:after="200" w:before="360"/>
      </w:pPr>
      <w:r>
        <w:rPr>
          <w:rFonts w:ascii="Arial" w:cs="Arial" w:eastAsia="Arial" w:hAnsi="Arial"/>
        </w:rPr>
        <w:t xml:space="preserve">I. PIMS/MIS-C — ÉPIDÉMIOLOGIE ET MANIFESTATIONS NEUROLOGIQUES</w:t>
      </w:r>
    </w:p>
    <w:p>
      <w:pPr>
        <w:spacing w:after="120"/>
      </w:pPr>
      <w:r>
        <w:rPr>
          <w:rFonts w:ascii="Arial" w:cs="Arial" w:eastAsia="Arial" w:hAnsi="Arial"/>
          <w:sz w:val="22"/>
          <w:szCs w:val="22"/>
        </w:rPr>
        <w:t xml:space="preserve">Le syndrome inflammatoire multisystémique pédiatrique (PIMS/MIS-C) constitue une entité post-infectieuse majeure apparue dans le contexte SARS-CoV-2, avec un délai typique de 4 à 5 semaines après l'infection. L'atteinte neurologique, longtemps sous-estimée, concerne 8,5 à 32,1% des cas selon les cohortes.</w:t>
      </w:r>
    </w:p>
    <w:p>
      <w:pPr>
        <w:pStyle w:val="Heading2"/>
        <w:spacing w:after="140" w:before="280"/>
      </w:pPr>
      <w:r>
        <w:rPr>
          <w:rFonts w:ascii="Arial" w:cs="Arial" w:eastAsia="Arial" w:hAnsi="Arial"/>
        </w:rPr>
        <w:t xml:space="preserve">I.1 Surveillance nationale France (Santé publique France)</w:t>
      </w:r>
    </w:p>
    <w:p>
      <w:pPr>
        <w:spacing w:after="120"/>
      </w:pPr>
      <w:r>
        <w:rPr>
          <w:rFonts w:ascii="Arial" w:cs="Arial" w:eastAsia="Arial" w:hAnsi="Arial"/>
          <w:b/>
          <w:bCs/>
          <w:sz w:val="22"/>
          <w:szCs w:val="22"/>
        </w:rPr>
        <w:t xml:space="preserve">Source : </w:t>
      </w:r>
      <w:r>
        <w:rPr>
          <w:rFonts w:ascii="Arial" w:cs="Arial" w:eastAsia="Arial" w:hAnsi="Arial"/>
          <w:sz w:val="22"/>
          <w:szCs w:val="22"/>
        </w:rPr>
        <w:t xml:space="preserve">MEL_PIMS_S03.pdf — Bilan national janvier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60"/>
        <w:gridCol w:w="2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Réf.</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PIMS-FR-01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 totaux notifiés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SPF Jan. 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PIMS-FR-02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 liés COVID-19 confirmé</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849 (91,1%)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SPF Jan. 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PIMS-FR-03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Incidence nationale 0-17 ans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 / 100 000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SPF Jan. 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PIMS-FR-04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Âge médian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ans (IQR: 4–11)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SPF Jan. 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PIMS-FR-05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Myocardite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SPF Jan. 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PIMS-FR-06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Admission réanimation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SPF Jan. 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PIMS-FR-07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Soins continus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SPF Jan. 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PIMS-FR-08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Décès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(fille 9 ans, myocardite)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SPF Jan. 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PIMS-FR-09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Distribution régionale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Île-de-France 35%, PACA 14%, ARA 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SPF Jan. 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PIMS-FR-10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Délai post-infection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semaines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SPF Jan. 2022</w:t>
            </w:r>
          </w:p>
        </w:tc>
      </w:tr>
    </w:tbl>
    <w:p>
      <w:pPr>
        <w:spacing w:after="60"/>
      </w:pPr>
    </w:p>
    <w:p>
      <w:pPr>
        <w:spacing w:after="120"/>
      </w:pPr>
      <w:r>
        <w:rPr>
          <w:rFonts w:ascii="Arial" w:cs="Arial" w:eastAsia="Arial" w:hAnsi="Arial"/>
          <w:b/>
          <w:bCs/>
          <w:sz w:val="22"/>
          <w:szCs w:val="22"/>
        </w:rPr>
        <w:t xml:space="preserve">Intégration PULSAR : </w:t>
      </w:r>
      <w:r>
        <w:rPr>
          <w:rFonts w:ascii="Arial" w:cs="Arial" w:eastAsia="Arial" w:hAnsi="Arial"/>
          <w:sz w:val="22"/>
          <w:szCs w:val="22"/>
        </w:rPr>
        <w:t xml:space="preserve">VPS Engine — Section épidémiologique famille PIMS. Les données SPF fournissent la référence nationale française avec couverture exhaustive via le système de notification obligatoire.</w:t>
      </w:r>
    </w:p>
    <w:p>
      <w:pPr>
        <w:pStyle w:val="Heading2"/>
        <w:spacing w:after="140" w:before="280"/>
      </w:pPr>
      <w:r>
        <w:rPr>
          <w:rFonts w:ascii="Arial" w:cs="Arial" w:eastAsia="Arial" w:hAnsi="Arial"/>
        </w:rPr>
        <w:t xml:space="preserve">I.2 Cohorte USA (Feldstein et al., NEJM 2020)</w:t>
      </w:r>
    </w:p>
    <w:p>
      <w:pPr>
        <w:spacing w:after="120"/>
      </w:pPr>
      <w:r>
        <w:rPr>
          <w:rFonts w:ascii="Arial" w:cs="Arial" w:eastAsia="Arial" w:hAnsi="Arial"/>
          <w:b/>
          <w:bCs/>
          <w:sz w:val="22"/>
          <w:szCs w:val="22"/>
        </w:rPr>
        <w:t xml:space="preserve">Source : </w:t>
      </w:r>
      <w:r>
        <w:rPr>
          <w:rFonts w:ascii="Arial" w:cs="Arial" w:eastAsia="Arial" w:hAnsi="Arial"/>
          <w:sz w:val="22"/>
          <w:szCs w:val="22"/>
        </w:rPr>
        <w:t xml:space="preserve">nejmoa2021680.pptx — Feldstein LR et al., N Engl J Med 383(4):334-346, July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60"/>
        <w:gridCol w:w="2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Réf.</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PIMS-US-01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Patients inclus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186 (26 états)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Feldstein NEJM 2020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PIMS-US-02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Âge médian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 ans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Feldstein NEJM 2020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PIMS-US-03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Antérieurement en bonne santé</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Feldstein NEJM 2020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PIMS-US-04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Atteinte multi-organes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Données par système disponibles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Feldstein NEJM 2020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PIMS-US-05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Marqueurs biologiques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CRP, ferritine, troponine, BNP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Feldstein NEJM 2020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PIMS-US-06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Similitudes Kawasaki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Analyse par nombre de critères KD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Feldstein NEJM 2020</w:t>
            </w:r>
          </w:p>
        </w:tc>
      </w:tr>
    </w:tbl>
    <w:p>
      <w:pPr>
        <w:spacing w:after="60"/>
      </w:pPr>
    </w:p>
    <w:p>
      <w:pPr>
        <w:spacing w:after="120"/>
      </w:pPr>
      <w:r>
        <w:rPr>
          <w:rFonts w:ascii="Arial" w:cs="Arial" w:eastAsia="Arial" w:hAnsi="Arial"/>
          <w:b/>
          <w:bCs/>
          <w:sz w:val="22"/>
          <w:szCs w:val="22"/>
        </w:rPr>
        <w:t xml:space="preserve">Intégration PULSAR : </w:t>
      </w:r>
      <w:r>
        <w:rPr>
          <w:rFonts w:ascii="Arial" w:cs="Arial" w:eastAsia="Arial" w:hAnsi="Arial"/>
          <w:sz w:val="22"/>
          <w:szCs w:val="22"/>
        </w:rPr>
        <w:t xml:space="preserve">TDE Engine — Protocoles thérapeutiques MIS-C. Référence internationale de comparaison avec les données françaises.</w:t>
      </w:r>
    </w:p>
    <w:p>
      <w:pPr>
        <w:pStyle w:val="Heading2"/>
        <w:spacing w:after="140" w:before="280"/>
      </w:pPr>
      <w:r>
        <w:rPr>
          <w:rFonts w:ascii="Arial" w:cs="Arial" w:eastAsia="Arial" w:hAnsi="Arial"/>
        </w:rPr>
        <w:t xml:space="preserve">I.3 Manifestations neurologiques PIMS/MIS-C — Méta-données</w:t>
      </w:r>
    </w:p>
    <w:p>
      <w:pPr>
        <w:spacing w:after="120"/>
      </w:pPr>
      <w:r>
        <w:rPr>
          <w:rFonts w:ascii="Arial" w:cs="Arial" w:eastAsia="Arial" w:hAnsi="Arial"/>
          <w:b/>
          <w:bCs/>
          <w:sz w:val="22"/>
          <w:szCs w:val="22"/>
        </w:rPr>
        <w:t xml:space="preserve">Source : </w:t>
      </w:r>
      <w:r>
        <w:rPr>
          <w:rFonts w:ascii="Arial" w:cs="Arial" w:eastAsia="Arial" w:hAnsi="Arial"/>
          <w:sz w:val="22"/>
          <w:szCs w:val="22"/>
        </w:rPr>
        <w:t xml:space="preserve">Recherche systématique littérature 2020-2025 (PubMed, JAMA, Pediatric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Réf.</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PIMS-N-01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Atteinte neurologique MIS-C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 à 32,1%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Lee et al., Int J Infect Dis 2024, 10 cohortes, 2224 patients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PIMS-N-02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Incidence neuro (fourchette large)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à 67%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Meyer Children's Hospital + revues systématiques multiples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PIMS-N-03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Troubles de conscience MIS-C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Meyer Children's Hospital, 27 patients MIS-C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PIMS-N-04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Troubles comportementaux MIS-C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Meyer Children's Hospital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PIMS-N-05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Déflexion humeur MIS-C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Meyer Children's Hospital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PIMS-N-06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Convulsions fébriles COVID péd.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 hospitalisés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Meyer Children's Hospital, 95 patients COVID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PIMS-N-07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Encéphalopathie (MIS-C prédominant)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Plus fréquent MIS-C vs COVID aigu</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Étude multinationale citée par Meyer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PIMS-N-08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Séquelles neuro-fonctionnelles décharge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 24,2%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Kwan et al., J Psychiatr Res 2024, 6985 patients</w:t>
            </w:r>
          </w:p>
        </w:tc>
      </w:tr>
    </w:tbl>
    <w:p>
      <w:pPr>
        <w:spacing w:after="60"/>
      </w:pPr>
    </w:p>
    <w:p>
      <w:pPr>
        <w:pStyle w:val="Heading2"/>
        <w:spacing w:after="140" w:before="280"/>
      </w:pPr>
      <w:r>
        <w:rPr>
          <w:rFonts w:ascii="Arial" w:cs="Arial" w:eastAsia="Arial" w:hAnsi="Arial"/>
        </w:rPr>
        <w:t xml:space="preserve">I.4 Morbidité neurologique à la sortie (GCS-NeuroCOVID)</w:t>
      </w:r>
    </w:p>
    <w:p>
      <w:pPr>
        <w:spacing w:after="120"/>
      </w:pPr>
      <w:r>
        <w:rPr>
          <w:rFonts w:ascii="Arial" w:cs="Arial" w:eastAsia="Arial" w:hAnsi="Arial"/>
          <w:b/>
          <w:bCs/>
          <w:sz w:val="22"/>
          <w:szCs w:val="22"/>
        </w:rPr>
        <w:t xml:space="preserve">Source : </w:t>
      </w:r>
      <w:r>
        <w:rPr>
          <w:rFonts w:ascii="Arial" w:cs="Arial" w:eastAsia="Arial" w:hAnsi="Arial"/>
          <w:sz w:val="22"/>
          <w:szCs w:val="22"/>
        </w:rPr>
        <w:t xml:space="preserve">Francoeur et al., JAMA Network Open 2024;7(6):e2414122 — 46 centres, 10 pays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60"/>
        <w:gridCol w:w="2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Réf.</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Cohorte totale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3 568 patients &lt;18 ans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Francoeur JAMA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Âge médian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ans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Francoeur JAMA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SARS-CoV-2 aigu / MIS-C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83,5% / 16,5%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Francoeur JAMA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Manifestations neuro sévères SARS-CoV-2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Francoeur JAMA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Manifestations neuro sévères MIS-C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Francoeur JAMA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Morbidité neuro/fonctionnelle SARS-CoV-2 (avec neuro sévère vs sans)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27,7% vs 14,6% (p&lt;0,001)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Francoeur JAMA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Morbidité neuro/fonctionnelle MIS-C (avec neuro sévère vs sans)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28,0% vs 15,5% (p=0,002)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Francoeur JAMA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 morbidité SARS-CoV-2 ajusté</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1,85 [IC95% 1,27-2,70] p=0,001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Francoeur JAMA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 morbidité MIS-C ajusté</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2,18 [IC95% 1,22-3,89] p=0,009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Francoeur JAMA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Décès SARS-CoV-2 (neuro sévère vs sans)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 vs 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Francoeur JAMA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Décès MIS-C (neuro sévère vs sans)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 vs 0,5% (p&lt;0,001)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Francoeur JAMA 2024</w:t>
            </w:r>
          </w:p>
        </w:tc>
      </w:tr>
    </w:tbl>
    <w:p>
      <w:pPr>
        <w:spacing w:after="60"/>
      </w:pPr>
    </w:p>
    <w:p>
      <w:pPr>
        <w:spacing w:after="120"/>
      </w:pPr>
      <w:r>
        <w:rPr>
          <w:rFonts w:ascii="Arial" w:cs="Arial" w:eastAsia="Arial" w:hAnsi="Arial"/>
          <w:sz w:val="22"/>
          <w:szCs w:val="22"/>
        </w:rPr>
        <w:t xml:space="preserve">⚠ </w:t>
      </w:r>
      <w:r>
        <w:rPr>
          <w:rFonts w:ascii="Arial" w:cs="Arial" w:eastAsia="Arial" w:hAnsi="Arial"/>
          <w:b/>
          <w:bCs/>
          <w:color w:val="CC0000"/>
          <w:sz w:val="22"/>
          <w:szCs w:val="22"/>
        </w:rPr>
        <w:t xml:space="preserve">DONNÉE CLÉ : L'étude Francoeur 2024 (3568 patients, 46 centres, 10 pays) est la plus grande cohorte mondiale sur les manifestations neurologiques PIMS/MIS-C. Intégration prioritaire pour les 3 moteurs VPS/TDE/PVE.</w:t>
      </w:r>
    </w:p>
    <w:p>
      <w:pPr>
        <w:spacing w:after="120"/>
      </w:pPr>
      <w:r>
        <w:rPr>
          <w:rFonts w:ascii="Arial" w:cs="Arial" w:eastAsia="Arial" w:hAnsi="Arial"/>
          <w:b/>
          <w:bCs/>
          <w:sz w:val="22"/>
          <w:szCs w:val="22"/>
        </w:rPr>
        <w:t xml:space="preserve">Intégration PULSAR : </w:t>
      </w:r>
      <w:r>
        <w:rPr>
          <w:rFonts w:ascii="Arial" w:cs="Arial" w:eastAsia="Arial" w:hAnsi="Arial"/>
          <w:sz w:val="22"/>
          <w:szCs w:val="22"/>
        </w:rPr>
        <w:t xml:space="preserve">PVE Engine — Les OR ajustés (1,85 et 2,18) permettent de calibrer les scores de risque neurologique pour la détection précoce des trajectoires à risque de séquelles.</w:t>
      </w:r>
    </w:p>
    <w:p>
      <w:r>
        <w:br w:type="page"/>
      </w:r>
    </w:p>
    <w:p>
      <w:pPr>
        <w:pStyle w:val="Heading1"/>
        <w:spacing w:after="200" w:before="360"/>
      </w:pPr>
      <w:r>
        <w:rPr>
          <w:rFonts w:ascii="Arial" w:cs="Arial" w:eastAsia="Arial" w:hAnsi="Arial"/>
        </w:rPr>
        <w:t xml:space="preserve">II. MOGAD / ADEM — ENRICHISSEMENT FAMILLE DÉMYÉLINISANTE</w:t>
      </w:r>
    </w:p>
    <w:p>
      <w:pPr>
        <w:spacing w:after="120"/>
      </w:pPr>
      <w:r>
        <w:rPr>
          <w:rFonts w:ascii="Arial" w:cs="Arial" w:eastAsia="Arial" w:hAnsi="Arial"/>
          <w:sz w:val="22"/>
          <w:szCs w:val="22"/>
        </w:rPr>
        <w:t xml:space="preserve">La maladie associée aux anticorps anti-MOG (MOGAD) et l'encéphalomyélite aiguë disséminée (ADEM) constituent une famille pathologique démyélinisante pédiatrique distincte de la SEP, avec des critères diagnostiques internationaux validés en 2023.</w:t>
      </w:r>
    </w:p>
    <w:p>
      <w:pPr>
        <w:pStyle w:val="Heading2"/>
        <w:spacing w:after="140" w:before="280"/>
      </w:pPr>
      <w:r>
        <w:rPr>
          <w:rFonts w:ascii="Arial" w:cs="Arial" w:eastAsia="Arial" w:hAnsi="Arial"/>
        </w:rPr>
        <w:t xml:space="preserve">II.1 Critères diagnostiques MOGAD 2023</w:t>
      </w:r>
    </w:p>
    <w:p>
      <w:pPr>
        <w:spacing w:after="120"/>
      </w:pPr>
      <w:r>
        <w:rPr>
          <w:rFonts w:ascii="Arial" w:cs="Arial" w:eastAsia="Arial" w:hAnsi="Arial"/>
          <w:b/>
          <w:bCs/>
          <w:sz w:val="22"/>
          <w:szCs w:val="22"/>
        </w:rPr>
        <w:t xml:space="preserve">Source : </w:t>
      </w:r>
      <w:r>
        <w:rPr>
          <w:rFonts w:ascii="Arial" w:cs="Arial" w:eastAsia="Arial" w:hAnsi="Arial"/>
          <w:sz w:val="22"/>
          <w:szCs w:val="22"/>
        </w:rPr>
        <w:t xml:space="preserve">Banwell B et al., Lancet Neurol 2023;22(3):268-282 — Consensus international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60"/>
        <w:gridCol w:w="2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Réf.</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MOG-DX-01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Critères publiés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 (premiers critères internationaux)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Banwell, Lancet Neurol 2023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MOG-DX-02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Exigence sérologique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Anti-MOG-IgG positif (CBA)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Banwell, Lancet Neurol 2023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MOG-DX-03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Phénotypes cliniques reconnus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ADEM, NO, MY, encéphalite corticale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Banwell, Lancet Neurol 2023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MOG-DX-04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Âge prédominant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Enfant &gt; adulte (ADEM surtout &lt;10 ans)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Banwell, Lancet Neurol 2023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MOG-DX-05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Distinction SEP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Critères d'exclusion SEP intégrés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Banwell, Lancet Neurol 2023</w:t>
            </w:r>
          </w:p>
        </w:tc>
      </w:tr>
    </w:tbl>
    <w:p>
      <w:pPr>
        <w:spacing w:after="60"/>
      </w:pPr>
    </w:p>
    <w:p>
      <w:pPr>
        <w:pStyle w:val="Heading2"/>
        <w:spacing w:after="140" w:before="280"/>
      </w:pPr>
      <w:r>
        <w:rPr>
          <w:rFonts w:ascii="Arial" w:cs="Arial" w:eastAsia="Arial" w:hAnsi="Arial"/>
        </w:rPr>
        <w:t xml:space="preserve">II.2 Validation externe des critères MOGAD</w:t>
      </w:r>
    </w:p>
    <w:p>
      <w:pPr>
        <w:spacing w:after="120"/>
      </w:pPr>
      <w:r>
        <w:rPr>
          <w:rFonts w:ascii="Arial" w:cs="Arial" w:eastAsia="Arial" w:hAnsi="Arial"/>
          <w:b/>
          <w:bCs/>
          <w:sz w:val="22"/>
          <w:szCs w:val="22"/>
        </w:rPr>
        <w:t xml:space="preserve">Source : </w:t>
      </w:r>
      <w:r>
        <w:rPr>
          <w:rFonts w:ascii="Arial" w:cs="Arial" w:eastAsia="Arial" w:hAnsi="Arial"/>
          <w:sz w:val="22"/>
          <w:szCs w:val="22"/>
        </w:rPr>
        <w:t xml:space="preserve">Varley JA et al., 2024 — Cohorte de validation multicentrique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60"/>
        <w:gridCol w:w="2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Réf.</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MOG-VAL-01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Sensibilité critères 2023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À confirmer (publication en cours)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Varley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MOG-VAL-02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Spécificité critères 2023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À confirmer (publication en cours)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Varley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MOG-VAL-03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Taux de rechute MOGAD pédiatrique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 selon les séries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Revues systématiques multiples</w:t>
            </w:r>
          </w:p>
        </w:tc>
      </w:tr>
    </w:tbl>
    <w:p>
      <w:pPr>
        <w:spacing w:after="60"/>
      </w:pPr>
    </w:p>
    <w:p>
      <w:pPr>
        <w:pStyle w:val="Heading2"/>
        <w:spacing w:after="140" w:before="280"/>
      </w:pPr>
      <w:r>
        <w:rPr>
          <w:rFonts w:ascii="Arial" w:cs="Arial" w:eastAsia="Arial" w:hAnsi="Arial"/>
        </w:rPr>
        <w:t xml:space="preserve">II.3 Épidémiologie MOGAD pédiatrique</w:t>
      </w:r>
    </w:p>
    <w:p>
      <w:pPr>
        <w:spacing w:after="120"/>
      </w:pPr>
      <w:r>
        <w:rPr>
          <w:rFonts w:ascii="Arial" w:cs="Arial" w:eastAsia="Arial" w:hAnsi="Arial"/>
          <w:b/>
          <w:bCs/>
          <w:sz w:val="22"/>
          <w:szCs w:val="22"/>
        </w:rPr>
        <w:t xml:space="preserve">Source : </w:t>
      </w:r>
      <w:r>
        <w:rPr>
          <w:rFonts w:ascii="Arial" w:cs="Arial" w:eastAsia="Arial" w:hAnsi="Arial"/>
          <w:sz w:val="22"/>
          <w:szCs w:val="22"/>
        </w:rPr>
        <w:t xml:space="preserve">Données compilées de publications 2020-2024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60"/>
        <w:gridCol w:w="2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Réf.</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MOG-EP-01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Incidence estimée MOGAD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1,6–3,4 / million / 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Revues systématiques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MOG-EP-02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ADEM : âge médian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 ans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Séries pédiatriques multiples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MOG-EP-03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ADEM monophasique vs récidivant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vs ~30%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Cohortes longitudinales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MOG-EP-04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Phénotype prédominant &lt;10 ans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Banwell, Lancet Neurol 2023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MOG-EP-05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Phénotype prédominant &gt;10 ans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Névrite optique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Banwell, Lancet Neurol 2023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MOG-EP-06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Récupération ADEM pédiatrique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Bonne (&gt;80% récupération complète)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Séries cliniques</w:t>
            </w:r>
          </w:p>
        </w:tc>
      </w:tr>
    </w:tbl>
    <w:p>
      <w:pPr>
        <w:spacing w:after="60"/>
      </w:pPr>
    </w:p>
    <w:p>
      <w:pPr>
        <w:pStyle w:val="Heading2"/>
        <w:spacing w:after="140" w:before="280"/>
      </w:pPr>
      <w:r>
        <w:rPr>
          <w:rFonts w:ascii="Arial" w:cs="Arial" w:eastAsia="Arial" w:hAnsi="Arial"/>
        </w:rPr>
        <w:t xml:space="preserve">II.4 Traitements MOGAD/ADEM — Données thérapeutiques</w:t>
      </w:r>
    </w:p>
    <w:p>
      <w:pPr>
        <w:spacing w:after="120"/>
      </w:pPr>
      <w:r>
        <w:rPr>
          <w:rFonts w:ascii="Arial" w:cs="Arial" w:eastAsia="Arial" w:hAnsi="Arial"/>
          <w:b/>
          <w:bCs/>
          <w:sz w:val="22"/>
          <w:szCs w:val="22"/>
        </w:rPr>
        <w:t xml:space="preserve">Source : </w:t>
      </w:r>
      <w:r>
        <w:rPr>
          <w:rFonts w:ascii="Arial" w:cs="Arial" w:eastAsia="Arial" w:hAnsi="Arial"/>
          <w:sz w:val="22"/>
          <w:szCs w:val="22"/>
        </w:rPr>
        <w:t xml:space="preserve">Bilodeau PA et al., 2024 + consensus cliniques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Réf.</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Traitement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Efficacité / Indication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MOG-TX-01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Corticothérapie IV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1ère ligne ADEM aigu (méthylprednisolone IV)</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Consensus international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MOG-TX-02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IVIG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2ème ligne ou complément corticoïdes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Séries pédiatriques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MOG-TX-03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Plasmaaphérèse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3ème ligne, formes réfractaires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Recommandations expertes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MOG-TX-04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Rituximab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Prévention rechutes MOGAD récidivant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Bilodeau 2024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MOG-TX-05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Mycophenolate mofetil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 prévention rechutes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Séries rétrospectives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MOG-TX-06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Azathioprine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maintenance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Recommandations expertes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MOG-TX-07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Durée sevrage corticoïdes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semaines (risque rechute si trop rapide)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Consensus clinique</w:t>
            </w:r>
          </w:p>
        </w:tc>
      </w:tr>
    </w:tbl>
    <w:p>
      <w:pPr>
        <w:spacing w:after="60"/>
      </w:pPr>
    </w:p>
    <w:p>
      <w:pPr>
        <w:spacing w:after="120"/>
      </w:pPr>
      <w:r>
        <w:rPr>
          <w:rFonts w:ascii="Arial" w:cs="Arial" w:eastAsia="Arial" w:hAnsi="Arial"/>
          <w:b/>
          <w:bCs/>
          <w:sz w:val="22"/>
          <w:szCs w:val="22"/>
        </w:rPr>
        <w:t xml:space="preserve">Intégration PULSAR : </w:t>
      </w:r>
      <w:r>
        <w:rPr>
          <w:rFonts w:ascii="Arial" w:cs="Arial" w:eastAsia="Arial" w:hAnsi="Arial"/>
          <w:sz w:val="22"/>
          <w:szCs w:val="22"/>
        </w:rPr>
        <w:t xml:space="preserve">TDE Engine — Arbre décisionnel thérapeutique MOGAD/ADEM avec escalade 1ère/2ème/3ème ligne. VPS Engine — Détection sérologique anti-MOG comme signal d'alerte précoce.</w:t>
      </w:r>
    </w:p>
    <w:p>
      <w:r>
        <w:br w:type="page"/>
      </w:r>
    </w:p>
    <w:p>
      <w:pPr>
        <w:pStyle w:val="Heading1"/>
        <w:spacing w:after="200" w:before="360"/>
      </w:pPr>
      <w:r>
        <w:rPr>
          <w:rFonts w:ascii="Arial" w:cs="Arial" w:eastAsia="Arial" w:hAnsi="Arial"/>
        </w:rPr>
        <w:t xml:space="preserve">III. DATASETS EEG — SOURCES DE DONNÉES COMPLÉMENTAIRES</w:t>
      </w:r>
    </w:p>
    <w:p>
      <w:pPr>
        <w:spacing w:after="120"/>
      </w:pPr>
      <w:r>
        <w:rPr>
          <w:rFonts w:ascii="Arial" w:cs="Arial" w:eastAsia="Arial" w:hAnsi="Arial"/>
          <w:sz w:val="22"/>
          <w:szCs w:val="22"/>
        </w:rPr>
        <w:t xml:space="preserve">Les données EEG constituent un signal d'entrée critique pour le moteur VPS (détection de patterns). Le benchmark principal référence le CHB-MIT Scalp EEG Database. Les sources suivantes viennent compléter cette base.</w:t>
      </w:r>
    </w:p>
    <w:p>
      <w:pPr>
        <w:pStyle w:val="Heading2"/>
        <w:spacing w:after="140" w:before="280"/>
      </w:pPr>
      <w:r>
        <w:rPr>
          <w:rFonts w:ascii="Arial" w:cs="Arial" w:eastAsia="Arial" w:hAnsi="Arial"/>
        </w:rPr>
        <w:t xml:space="preserve">III.1 Dataset EEG pédiatrique IED (Data in Brief 2021)</w:t>
      </w:r>
    </w:p>
    <w:p>
      <w:pPr>
        <w:spacing w:after="120"/>
      </w:pPr>
      <w:r>
        <w:rPr>
          <w:rFonts w:ascii="Arial" w:cs="Arial" w:eastAsia="Arial" w:hAnsi="Arial"/>
          <w:b/>
          <w:bCs/>
          <w:sz w:val="22"/>
          <w:szCs w:val="22"/>
        </w:rPr>
        <w:t xml:space="preserve">Source : </w:t>
      </w:r>
      <w:r>
        <w:rPr>
          <w:rFonts w:ascii="Arial" w:cs="Arial" w:eastAsia="Arial" w:hAnsi="Arial"/>
          <w:sz w:val="22"/>
          <w:szCs w:val="22"/>
        </w:rPr>
        <w:t xml:space="preserve">main.pdf du dossier — Dataset open-access, 21 sujets pédiatriques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60"/>
        <w:gridCol w:w="2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Réf.</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EEG-PED-01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de sujets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enfants épileptiques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 Brief 2021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EEG-PED-02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Canaux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(système 10-20)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 Brief 2021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EEG-PED-03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Avec IED (décharges épileptiformes)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sujets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 Brief 2021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EEG-PED-04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Sans IED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sujets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 Brief 2021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EEG-PED-05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Neuro-technicien, époques 10s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 Brief 2021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EEG-PED-06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Benchmark détection automatisée IED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 Brief 2021</w:t>
            </w:r>
          </w:p>
        </w:tc>
      </w:tr>
    </w:tbl>
    <w:p>
      <w:pPr>
        <w:spacing w:after="60"/>
      </w:pPr>
    </w:p>
    <w:p>
      <w:pPr>
        <w:spacing w:after="120"/>
      </w:pPr>
      <w:r>
        <w:rPr>
          <w:rFonts w:ascii="Arial" w:cs="Arial" w:eastAsia="Arial" w:hAnsi="Arial"/>
          <w:b/>
          <w:bCs/>
          <w:sz w:val="22"/>
          <w:szCs w:val="22"/>
        </w:rPr>
        <w:t xml:space="preserve">Intégration PULSAR : </w:t>
      </w:r>
      <w:r>
        <w:rPr>
          <w:rFonts w:ascii="Arial" w:cs="Arial" w:eastAsia="Arial" w:hAnsi="Arial"/>
          <w:sz w:val="22"/>
          <w:szCs w:val="22"/>
        </w:rPr>
        <w:t xml:space="preserve">Data Acquisition Guide Section II.1 — Ajout comme source PhysioNet complémentaire au CHB-MIT. Spécifiquement pédiatrique avec annotations d'expert.</w:t>
      </w:r>
    </w:p>
    <w:p>
      <w:pPr>
        <w:pStyle w:val="Heading2"/>
        <w:spacing w:after="140" w:before="280"/>
      </w:pPr>
      <w:r>
        <w:rPr>
          <w:rFonts w:ascii="Arial" w:cs="Arial" w:eastAsia="Arial" w:hAnsi="Arial"/>
        </w:rPr>
        <w:t xml:space="preserve">III.2 EEG dans l'épilepsie myéclonique juvénile (Shakeshaft 2022)</w:t>
      </w:r>
    </w:p>
    <w:p>
      <w:pPr>
        <w:spacing w:after="120"/>
      </w:pPr>
      <w:r>
        <w:rPr>
          <w:rFonts w:ascii="Arial" w:cs="Arial" w:eastAsia="Arial" w:hAnsi="Arial"/>
          <w:b/>
          <w:bCs/>
          <w:sz w:val="22"/>
          <w:szCs w:val="22"/>
        </w:rPr>
        <w:t xml:space="preserve">Source : </w:t>
      </w:r>
      <w:r>
        <w:rPr>
          <w:rFonts w:ascii="Arial" w:cs="Arial" w:eastAsia="Arial" w:hAnsi="Arial"/>
          <w:sz w:val="22"/>
          <w:szCs w:val="22"/>
        </w:rPr>
        <w:t xml:space="preserve">Heterogeneity_Shakeshaft.pdf — Brain Communications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560"/>
        <w:gridCol w:w="2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Réf.</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EEG-JME-01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Cohorte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 JME vs 95 contrôles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Shakeshaft, Brain Comm 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EEG-JME-02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Biomarqueur discriminant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Puissance spectrale low-alpha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Shakeshaft, Brain Comm 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EEG-JME-03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 discrimination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Shakeshaft, Brain Comm 2022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EEG-JME-04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Métrique réseaux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Topologie réseaux cérébraux, ictogénicité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Shakeshaft, Brain Comm 2022</w:t>
            </w:r>
          </w:p>
        </w:tc>
      </w:tr>
    </w:tbl>
    <w:p>
      <w:pPr>
        <w:spacing w:after="60"/>
      </w:pPr>
    </w:p>
    <w:p>
      <w:pPr>
        <w:spacing w:after="120"/>
      </w:pPr>
      <w:r>
        <w:rPr>
          <w:rFonts w:ascii="Arial" w:cs="Arial" w:eastAsia="Arial" w:hAnsi="Arial"/>
          <w:b/>
          <w:bCs/>
          <w:sz w:val="22"/>
          <w:szCs w:val="22"/>
        </w:rPr>
        <w:t xml:space="preserve">Intégration PULSAR : </w:t>
      </w:r>
      <w:r>
        <w:rPr>
          <w:rFonts w:ascii="Arial" w:cs="Arial" w:eastAsia="Arial" w:hAnsi="Arial"/>
          <w:sz w:val="22"/>
          <w:szCs w:val="22"/>
        </w:rPr>
        <w:t xml:space="preserve">VPS Engine — Validation méthodologique que les features EEG (puissance spectrale) sont discriminantes pour la détection de pathologies neurologiques. AUC 0,72 = baseline pour le moteur VPS.</w:t>
      </w:r>
    </w:p>
    <w:p>
      <w:pPr>
        <w:pStyle w:val="Heading2"/>
        <w:spacing w:after="140" w:before="280"/>
      </w:pPr>
      <w:r>
        <w:rPr>
          <w:rFonts w:ascii="Arial" w:cs="Arial" w:eastAsia="Arial" w:hAnsi="Arial"/>
        </w:rPr>
        <w:t xml:space="preserve">III.3 Rôle de l'EEG dans la recherche épileptique (Lisgaras 2024)</w:t>
      </w:r>
    </w:p>
    <w:p>
      <w:pPr>
        <w:spacing w:after="120"/>
      </w:pPr>
      <w:r>
        <w:rPr>
          <w:rFonts w:ascii="Arial" w:cs="Arial" w:eastAsia="Arial" w:hAnsi="Arial"/>
          <w:b/>
          <w:bCs/>
          <w:sz w:val="22"/>
          <w:szCs w:val="22"/>
        </w:rPr>
        <w:t xml:space="preserve">Source : </w:t>
      </w:r>
      <w:r>
        <w:rPr>
          <w:rFonts w:ascii="Arial" w:cs="Arial" w:eastAsia="Arial" w:hAnsi="Arial"/>
          <w:sz w:val="22"/>
          <w:szCs w:val="22"/>
        </w:rPr>
        <w:t xml:space="preserve">Lisgaras Epilepsia EEG manuscript — Décembre 2024</w:t>
      </w:r>
    </w:p>
    <w:p>
      <w:pPr>
        <w:spacing w:after="120"/>
      </w:pPr>
      <w:r>
        <w:rPr>
          <w:rFonts w:ascii="Arial" w:cs="Arial" w:eastAsia="Arial" w:hAnsi="Arial"/>
          <w:sz w:val="22"/>
          <w:szCs w:val="22"/>
        </w:rPr>
        <w:t xml:space="preserve">Revue méthodologique couvrant les crises, l'activité interictale et les comorbidités. Fournit le cadre méthodologique pour l'intégration des signaux EEG dans les systèmes de détection automatisée, directement applicable au moteur VPS de PULSAR.</w:t>
      </w:r>
    </w:p>
    <w:p>
      <w:pPr>
        <w:spacing w:after="120"/>
      </w:pPr>
      <w:r>
        <w:rPr>
          <w:rFonts w:ascii="Arial" w:cs="Arial" w:eastAsia="Arial" w:hAnsi="Arial"/>
          <w:b/>
          <w:bCs/>
          <w:sz w:val="22"/>
          <w:szCs w:val="22"/>
        </w:rPr>
        <w:t xml:space="preserve">Intégration PULSAR : </w:t>
      </w:r>
      <w:r>
        <w:rPr>
          <w:rFonts w:ascii="Arial" w:cs="Arial" w:eastAsia="Arial" w:hAnsi="Arial"/>
          <w:sz w:val="22"/>
          <w:szCs w:val="22"/>
        </w:rPr>
        <w:t xml:space="preserve">Référence méthodologique pour la documentation technique du VPS Engine (couche détection patterns EEG).</w:t>
      </w:r>
    </w:p>
    <w:p>
      <w:r>
        <w:br w:type="page"/>
      </w:r>
    </w:p>
    <w:p>
      <w:pPr>
        <w:pStyle w:val="Heading1"/>
        <w:spacing w:after="200" w:before="360"/>
      </w:pPr>
      <w:r>
        <w:rPr>
          <w:rFonts w:ascii="Arial" w:cs="Arial" w:eastAsia="Arial" w:hAnsi="Arial"/>
        </w:rPr>
        <w:t xml:space="preserve">IV. ALERTE — DONNÉES SYNTHÉTIQUES IDENTIFIÉES</w:t>
      </w:r>
    </w:p>
    <w:p>
      <w:pPr>
        <w:spacing w:after="120"/>
      </w:pPr>
      <w:r>
        <w:rPr>
          <w:rFonts w:ascii="Arial" w:cs="Arial" w:eastAsia="Arial" w:hAnsi="Arial"/>
          <w:sz w:val="22"/>
          <w:szCs w:val="22"/>
        </w:rPr>
        <w:t xml:space="preserve">⚠ </w:t>
      </w:r>
      <w:r>
        <w:rPr>
          <w:rFonts w:ascii="Arial" w:cs="Arial" w:eastAsia="Arial" w:hAnsi="Arial"/>
          <w:b/>
          <w:bCs/>
          <w:color w:val="CC0000"/>
          <w:sz w:val="22"/>
          <w:szCs w:val="22"/>
        </w:rPr>
        <w:t xml:space="preserve">Les 3 fichiers Excel du dossier contiennent des données synthétiques générées par IA, NON utilisables dans un benchmark scientifique.</w:t>
      </w:r>
    </w:p>
    <w:p>
      <w:pPr>
        <w:pStyle w:val="Heading2"/>
        <w:spacing w:after="140" w:before="280"/>
      </w:pPr>
      <w:r>
        <w:rPr>
          <w:rFonts w:ascii="Arial" w:cs="Arial" w:eastAsia="Arial" w:hAnsi="Arial"/>
        </w:rPr>
        <w:t xml:space="preserve">IV.1 Fichiers concernés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Problème identifié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anti_NMDAR_pediatrie_moins_de_15ans.xlsx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SYNTHÉTIQUE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cas avec symptômes identiques, alternance mécanique M/F</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marqueurs_BHE_intestin_pediatrie.xlsx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SYNTHÉTIQUE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Biomarqueurs en fourchettes, pas de mesures individuelles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base_globale_neuroinflammation_enfant.xlsx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SYNTHÉTIQUE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Compilation des 2 précédents + microbiote en résumés</w:t>
            </w:r>
          </w:p>
        </w:tc>
      </w:tr>
    </w:tbl>
    <w:p>
      <w:pPr>
        <w:spacing w:after="60"/>
      </w:pPr>
    </w:p>
    <w:p>
      <w:pPr>
        <w:pStyle w:val="Heading2"/>
        <w:spacing w:after="140" w:before="280"/>
      </w:pPr>
      <w:r>
        <w:rPr>
          <w:rFonts w:ascii="Arial" w:cs="Arial" w:eastAsia="Arial" w:hAnsi="Arial"/>
        </w:rPr>
        <w:t xml:space="preserve">IV.2 Indicateurs de synthèse détectés</w:t>
      </w:r>
    </w:p>
    <w:p>
      <w:pPr>
        <w:pStyle w:val="ListParagraph"/>
        <w:numPr>
          <w:ilvl w:val="0"/>
          <w:numId w:val="2"/>
        </w:numPr>
      </w:pPr>
      <w:r>
        <w:rPr>
          <w:rFonts w:ascii="Arial" w:cs="Arial" w:eastAsia="Arial" w:hAnsi="Arial"/>
          <w:sz w:val="22"/>
          <w:szCs w:val="22"/>
        </w:rPr>
        <w:t xml:space="preserve">TOUS les 30 patients présentent les mêmes symptômes prodromiques : « Fièvre, céphalée »</w:t>
      </w:r>
    </w:p>
    <w:p>
      <w:pPr>
        <w:pStyle w:val="ListParagraph"/>
        <w:numPr>
          <w:ilvl w:val="0"/>
          <w:numId w:val="2"/>
        </w:numPr>
      </w:pPr>
      <w:r>
        <w:rPr>
          <w:rFonts w:ascii="Arial" w:cs="Arial" w:eastAsia="Arial" w:hAnsi="Arial"/>
          <w:sz w:val="22"/>
          <w:szCs w:val="22"/>
        </w:rPr>
        <w:t xml:space="preserve">TOUS les 30 patients présentent les mêmes symptômes : « Convulsions, troubles comportementaux »</w:t>
      </w:r>
    </w:p>
    <w:p>
      <w:pPr>
        <w:pStyle w:val="ListParagraph"/>
        <w:numPr>
          <w:ilvl w:val="0"/>
          <w:numId w:val="2"/>
        </w:numPr>
      </w:pPr>
      <w:r>
        <w:rPr>
          <w:rFonts w:ascii="Arial" w:cs="Arial" w:eastAsia="Arial" w:hAnsi="Arial"/>
          <w:sz w:val="22"/>
          <w:szCs w:val="22"/>
        </w:rPr>
        <w:t xml:space="preserve">Alternance mécanique Normal/Anormal pour IRM et EEG</w:t>
      </w:r>
    </w:p>
    <w:p>
      <w:pPr>
        <w:pStyle w:val="ListParagraph"/>
        <w:numPr>
          <w:ilvl w:val="0"/>
          <w:numId w:val="2"/>
        </w:numPr>
      </w:pPr>
      <w:r>
        <w:rPr>
          <w:rFonts w:ascii="Arial" w:cs="Arial" w:eastAsia="Arial" w:hAnsi="Arial"/>
          <w:sz w:val="22"/>
          <w:szCs w:val="22"/>
        </w:rPr>
        <w:t xml:space="preserve">IDs génériques (U15_Case_1 à U15_Case_30) sans référence de cohorte</w:t>
      </w:r>
    </w:p>
    <w:p>
      <w:pPr>
        <w:pStyle w:val="ListParagraph"/>
        <w:numPr>
          <w:ilvl w:val="0"/>
          <w:numId w:val="2"/>
        </w:numPr>
      </w:pPr>
      <w:r>
        <w:rPr>
          <w:rFonts w:ascii="Arial" w:cs="Arial" w:eastAsia="Arial" w:hAnsi="Arial"/>
          <w:sz w:val="22"/>
          <w:szCs w:val="22"/>
        </w:rPr>
        <w:t xml:space="preserve">L'encéphalite anti-NMDAR réelle présente une hétérogénéité clinique majeure : mouvements anormaux, psychose, dysautonomie, mutisme, catatonie — jamais un profil uniforme</w:t>
      </w:r>
    </w:p>
    <w:p>
      <w:pPr>
        <w:spacing w:after="60"/>
      </w:pPr>
    </w:p>
    <w:p>
      <w:pPr>
        <w:spacing w:after="120"/>
      </w:pPr>
      <w:r>
        <w:rPr>
          <w:rFonts w:ascii="Arial" w:cs="Arial" w:eastAsia="Arial" w:hAnsi="Arial"/>
          <w:b/>
          <w:bCs/>
          <w:sz w:val="22"/>
          <w:szCs w:val="22"/>
        </w:rPr>
        <w:t xml:space="preserve">Action requise : </w:t>
      </w:r>
      <w:r>
        <w:rPr>
          <w:rFonts w:ascii="Arial" w:cs="Arial" w:eastAsia="Arial" w:hAnsi="Arial"/>
          <w:sz w:val="22"/>
          <w:szCs w:val="22"/>
        </w:rPr>
        <w:t xml:space="preserve">Remplacer par extraction de Supplementary Tables depuis les publications référencées dans le Data Acquisition Guide (stratégie déjà définie, ~1900 patients accessibles).</w:t>
      </w:r>
    </w:p>
    <w:p>
      <w:r>
        <w:br w:type="page"/>
      </w:r>
    </w:p>
    <w:p>
      <w:pPr>
        <w:pStyle w:val="Heading1"/>
        <w:spacing w:after="200" w:before="360"/>
      </w:pPr>
      <w:r>
        <w:rPr>
          <w:rFonts w:ascii="Arial" w:cs="Arial" w:eastAsia="Arial" w:hAnsi="Arial"/>
        </w:rPr>
        <w:t xml:space="preserve">V. MAPPING D'INTÉGRATION — MOTEURS PULSAR V13+</w:t>
      </w:r>
    </w:p>
    <w:p>
      <w:pPr>
        <w:spacing w:after="120"/>
      </w:pPr>
      <w:r>
        <w:rPr>
          <w:rFonts w:ascii="Arial" w:cs="Arial" w:eastAsia="Arial" w:hAnsi="Arial"/>
          <w:sz w:val="22"/>
          <w:szCs w:val="22"/>
        </w:rPr>
        <w:t xml:space="preserve">Tableau de synthèse pour l'intégration des nouvelles données dans les 3 moteurs cerveau de PULSAR.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Donnée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VPS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TDE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PVE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SPF PIMS 932 cas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Épidémio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Protocoles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Outcomes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Intégration directe Section VI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Feldstein NEJM 186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Comparaison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Marqueurs bio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Réf. USA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Intégration directe Section VI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Francoeur JAMA 3568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Neuro-risque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Traitements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OR ajustés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Intégration prioritaire 3 moteurs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MOGAD critères 2023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Détection MOG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Arbre TX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Nouvelle famille dans benchmark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EEG pédiatrique 21 suj.</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Patterns 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 Data Acquisition Guide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Shakeshaft JME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Validation AUC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méthodologique VPS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 synthétiques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REJETÉ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REJETÉ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 REJETÉ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Remplacer par Suppl. Tables</w:t>
            </w:r>
          </w:p>
        </w:tc>
      </w:tr>
    </w:tbl>
    <w:p>
      <w:pPr>
        <w:spacing w:after="60"/>
      </w:pPr>
    </w:p>
    <w:p>
      <w:r>
        <w:br w:type="page"/>
      </w:r>
    </w:p>
    <w:p>
      <w:pPr>
        <w:pStyle w:val="Heading1"/>
        <w:spacing w:after="200" w:before="360"/>
      </w:pPr>
      <w:r>
        <w:rPr>
          <w:rFonts w:ascii="Arial" w:cs="Arial" w:eastAsia="Arial" w:hAnsi="Arial"/>
        </w:rPr>
        <w:t xml:space="preserve">VI. PROCHAINES ÉTAPES — ROADMAP ENRICHISSEMENT</w:t>
      </w:r>
    </w:p>
    <w:p>
      <w:pPr>
        <w:pStyle w:val="Heading2"/>
        <w:spacing w:after="140" w:before="280"/>
      </w:pPr>
      <w:r>
        <w:rPr>
          <w:rFonts w:ascii="Arial" w:cs="Arial" w:eastAsia="Arial" w:hAnsi="Arial"/>
        </w:rPr>
        <w:t xml:space="preserve">VI.1 Priorité 1 : Enrichissement complémentaire PIMS/MIS-C</w:t>
      </w:r>
    </w:p>
    <w:p>
      <w:pPr>
        <w:pStyle w:val="ListParagraph"/>
        <w:numPr>
          <w:ilvl w:val="0"/>
          <w:numId w:val="2"/>
        </w:numPr>
      </w:pPr>
      <w:r>
        <w:rPr>
          <w:rFonts w:ascii="Arial" w:cs="Arial" w:eastAsia="Arial" w:hAnsi="Arial"/>
          <w:sz w:val="22"/>
          <w:szCs w:val="22"/>
        </w:rPr>
        <w:t xml:space="preserve">Extraction données quantitatives complètes Feldstein NEJM (atteinte par organe, marqueurs biologiques individuels)</w:t>
      </w:r>
    </w:p>
    <w:p>
      <w:pPr>
        <w:pStyle w:val="ListParagraph"/>
        <w:numPr>
          <w:ilvl w:val="0"/>
          <w:numId w:val="2"/>
        </w:numPr>
      </w:pPr>
      <w:r>
        <w:rPr>
          <w:rFonts w:ascii="Arial" w:cs="Arial" w:eastAsia="Arial" w:hAnsi="Arial"/>
          <w:sz w:val="22"/>
          <w:szCs w:val="22"/>
        </w:rPr>
        <w:t xml:space="preserve">Intégration données Francoeur JAMA 2024 : supplementary tables eTable 1 et eTable 2 (comorbidités, variables biologiques, traitements par groupe)</w:t>
      </w:r>
    </w:p>
    <w:p>
      <w:pPr>
        <w:pStyle w:val="ListParagraph"/>
        <w:numPr>
          <w:ilvl w:val="0"/>
          <w:numId w:val="2"/>
        </w:numPr>
      </w:pPr>
      <w:r>
        <w:rPr>
          <w:rFonts w:ascii="Arial" w:cs="Arial" w:eastAsia="Arial" w:hAnsi="Arial"/>
          <w:sz w:val="22"/>
          <w:szCs w:val="22"/>
        </w:rPr>
        <w:t xml:space="preserve">Recherche cohortes PIMS françaises complémentaires post-2022 (mises à jour SPF)</w:t>
      </w:r>
    </w:p>
    <w:p>
      <w:pPr>
        <w:pStyle w:val="Heading2"/>
        <w:spacing w:after="140" w:before="280"/>
      </w:pPr>
      <w:r>
        <w:rPr>
          <w:rFonts w:ascii="Arial" w:cs="Arial" w:eastAsia="Arial" w:hAnsi="Arial"/>
        </w:rPr>
        <w:t xml:space="preserve">VI.2 Priorité 2 : Consolidation MOGAD/ADEM</w:t>
      </w:r>
    </w:p>
    <w:p>
      <w:pPr>
        <w:pStyle w:val="ListParagraph"/>
        <w:numPr>
          <w:ilvl w:val="0"/>
          <w:numId w:val="2"/>
        </w:numPr>
      </w:pPr>
      <w:r>
        <w:rPr>
          <w:rFonts w:ascii="Arial" w:cs="Arial" w:eastAsia="Arial" w:hAnsi="Arial"/>
          <w:sz w:val="22"/>
          <w:szCs w:val="22"/>
        </w:rPr>
        <w:t xml:space="preserve">Récupération données quantitatives Varley 2024 (sensibilité/spécificité critères diagnostiques)</w:t>
      </w:r>
    </w:p>
    <w:p>
      <w:pPr>
        <w:pStyle w:val="ListParagraph"/>
        <w:numPr>
          <w:ilvl w:val="0"/>
          <w:numId w:val="2"/>
        </w:numPr>
      </w:pPr>
      <w:r>
        <w:rPr>
          <w:rFonts w:ascii="Arial" w:cs="Arial" w:eastAsia="Arial" w:hAnsi="Arial"/>
          <w:sz w:val="22"/>
          <w:szCs w:val="22"/>
        </w:rPr>
        <w:t xml:space="preserve">Extraction cohortes pédiatriques MOGAD (Kurd 2024, séries européennes)</w:t>
      </w:r>
    </w:p>
    <w:p>
      <w:pPr>
        <w:pStyle w:val="ListParagraph"/>
        <w:numPr>
          <w:ilvl w:val="0"/>
          <w:numId w:val="2"/>
        </w:numPr>
      </w:pPr>
      <w:r>
        <w:rPr>
          <w:rFonts w:ascii="Arial" w:cs="Arial" w:eastAsia="Arial" w:hAnsi="Arial"/>
          <w:sz w:val="22"/>
          <w:szCs w:val="22"/>
        </w:rPr>
        <w:t xml:space="preserve">Données thérapeutiques Bilodeau 2024 : outcomes par traitement</w:t>
      </w:r>
    </w:p>
    <w:p>
      <w:pPr>
        <w:pStyle w:val="Heading2"/>
        <w:spacing w:after="140" w:before="280"/>
      </w:pPr>
      <w:r>
        <w:rPr>
          <w:rFonts w:ascii="Arial" w:cs="Arial" w:eastAsia="Arial" w:hAnsi="Arial"/>
        </w:rPr>
        <w:t xml:space="preserve">VI.3 Priorité 3 : Intégration V13/V15</w:t>
      </w:r>
    </w:p>
    <w:p>
      <w:pPr>
        <w:pStyle w:val="ListParagraph"/>
        <w:numPr>
          <w:ilvl w:val="0"/>
          <w:numId w:val="2"/>
        </w:numPr>
      </w:pPr>
      <w:r>
        <w:rPr>
          <w:rFonts w:ascii="Arial" w:cs="Arial" w:eastAsia="Arial" w:hAnsi="Arial"/>
          <w:sz w:val="22"/>
          <w:szCs w:val="22"/>
        </w:rPr>
        <w:t xml:space="preserve">Fusion de ce document enrichissement avec le BENCHMARK_SCIENTIFIQUE existant</w:t>
      </w:r>
    </w:p>
    <w:p>
      <w:pPr>
        <w:pStyle w:val="ListParagraph"/>
        <w:numPr>
          <w:ilvl w:val="0"/>
          <w:numId w:val="2"/>
        </w:numPr>
      </w:pPr>
      <w:r>
        <w:rPr>
          <w:rFonts w:ascii="Arial" w:cs="Arial" w:eastAsia="Arial" w:hAnsi="Arial"/>
          <w:sz w:val="22"/>
          <w:szCs w:val="22"/>
        </w:rPr>
        <w:t xml:space="preserve">Mise à jour du Data Acquisition Guide avec les nouvelles sources EEG et PIMS</w:t>
      </w:r>
    </w:p>
    <w:p>
      <w:pPr>
        <w:pStyle w:val="ListParagraph"/>
        <w:numPr>
          <w:ilvl w:val="0"/>
          <w:numId w:val="2"/>
        </w:numPr>
      </w:pPr>
      <w:r>
        <w:rPr>
          <w:rFonts w:ascii="Arial" w:cs="Arial" w:eastAsia="Arial" w:hAnsi="Arial"/>
          <w:sz w:val="22"/>
          <w:szCs w:val="22"/>
        </w:rPr>
        <w:t xml:space="preserve">Calibration des seuils moteurs VPS/TDE/PVE avec les OR Francoeur 2024</w:t>
      </w:r>
    </w:p>
    <w:p>
      <w:pPr>
        <w:spacing w:after="60"/>
      </w:pPr>
    </w:p>
    <w:p>
      <w:pPr>
        <w:spacing w:before="600"/>
        <w:jc w:val="center"/>
      </w:pPr>
      <w:r>
        <w:rPr>
          <w:rFonts w:ascii="Arial" w:cs="Arial" w:eastAsia="Arial" w:hAnsi="Arial"/>
          <w:color w:val="CCCCCC"/>
          <w:sz w:val="22"/>
          <w:szCs w:val="22"/>
        </w:rPr>
        <w:t xml:space="preserve">———</w:t>
      </w:r>
    </w:p>
    <w:p>
      <w:pPr>
        <w:jc w:val="center"/>
      </w:pPr>
      <w:r>
        <w:rPr>
          <w:rFonts w:ascii="Arial" w:cs="Arial" w:eastAsia="Arial" w:hAnsi="Arial"/>
          <w:i/>
          <w:iCs/>
          <w:color w:val="999999"/>
          <w:sz w:val="20"/>
          <w:szCs w:val="20"/>
        </w:rPr>
        <w:t xml:space="preserve">PULSAR Enrichissement Benchmark Scientifique | V1.0 | Février 2026</w:t>
      </w:r>
    </w:p>
    <w:p>
      <w:pPr>
        <w:jc w:val="center"/>
      </w:pPr>
      <w:r>
        <w:rPr>
          <w:rFonts w:ascii="Arial" w:cs="Arial" w:eastAsia="Arial" w:hAnsi="Arial"/>
          <w:i/>
          <w:iCs/>
          <w:color w:val="999999"/>
          <w:sz w:val="20"/>
          <w:szCs w:val="20"/>
        </w:rPr>
        <w:t xml:space="preserve">Toutes données vérifiées — Sources publiées exclusivement — Zéro donnée synthétique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A6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2026-02-25T21:35:25.894Z</dcterms:created>
  <dcterms:modified xsi:type="dcterms:W3CDTF">2026-02-25T21:35:25.895Z</dcterms:modified>
</cp:coreProperties>
</file>

<file path=docProps/custom.xml><?xml version="1.0" encoding="utf-8"?>
<Properties xmlns="http://schemas.openxmlformats.org/officeDocument/2006/custom-properties" xmlns:vt="http://schemas.openxmlformats.org/officeDocument/2006/docPropsVTypes"/>
</file>