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jc w:val="center"/>
      </w:pPr>
      <w:r>
        <w:rPr>
          <w:b/>
          <w:bCs/>
          <w:color w:val="1E2761"/>
          <w:sz w:val="56"/>
          <w:szCs w:val="56"/>
        </w:rPr>
        <w:t xml:space="preserve">SCENARIO 6</w:t>
      </w:r>
    </w:p>
    <w:p>
      <w:pPr>
        <w:spacing w:after="600"/>
        <w:jc w:val="center"/>
      </w:pPr>
      <w:r>
        <w:rPr>
          <w:i/>
          <w:iCs/>
          <w:color w:val="B85042"/>
          <w:sz w:val="40"/>
          <w:szCs w:val="40"/>
        </w:rPr>
        <w:t xml:space="preserve">The Promotion Dangle</w:t>
      </w:r>
    </w:p>
    <w:p>
      <w:pPr>
        <w:spacing w:after="80"/>
        <w:jc w:val="center"/>
      </w:pPr>
      <w:r>
        <w:rPr>
          <w:color w:val="475569"/>
          <w:sz w:val="24"/>
          <w:szCs w:val="24"/>
        </w:rPr>
        <w:t xml:space="preserve">A Civilian / Private-Sector Variant</w:t>
      </w:r>
    </w:p>
    <w:p>
      <w:pPr>
        <w:spacing w:after="1800"/>
        <w:jc w:val="center"/>
      </w:pPr>
      <w:r>
        <w:rPr>
          <w:i/>
          <w:iCs/>
          <w:color w:val="475569"/>
          <w:sz w:val="18"/>
          <w:szCs w:val="18"/>
        </w:rPr>
        <w:t xml:space="preserve">Engineering Manager Dynamics, Peer Accountability, and Authority Without Title</w:t>
      </w:r>
    </w:p>
    <w:p>
      <w:pPr>
        <w:spacing w:after="0"/>
        <w:jc w:val="center"/>
      </w:pPr>
      <w:r>
        <w:rPr>
          <w:b/>
          <w:bCs/>
          <w:color w:val="1E2761"/>
          <w:sz w:val="20"/>
          <w:szCs w:val="20"/>
        </w:rPr>
        <w:t xml:space="preserve">Companion to the Ethical Decision-Making Simulator</w:t>
      </w:r>
    </w:p>
    <w:p>
      <w:r>
        <w:br w:type="page"/>
      </w:r>
    </w:p>
    <w:p>
      <w:pPr>
        <w:pStyle w:val="Heading1"/>
        <w:spacing w:after="200" w:before="360"/>
      </w:pPr>
      <w:r>
        <w:rPr>
          <w:b/>
          <w:bCs/>
          <w:color w:val="1E2761"/>
        </w:rPr>
        <w:t xml:space="preserve">Scenario 6: The Promotion Dangle</w:t>
      </w:r>
    </w:p>
    <w:p>
      <w:pPr>
        <w:spacing w:after="200" w:before="0"/>
      </w:pPr>
      <w:r>
        <w:rPr>
          <w:b/>
          <w:bCs/>
          <w:color w:val="1E2761"/>
        </w:rPr>
        <w:t xml:space="preserve">Domain: </w:t>
      </w:r>
      <w:r>
        <w:rPr>
          <w:i/>
          <w:iCs/>
        </w:rPr>
        <w:t xml:space="preserve">Private-sector engineering / management dynamics</w:t>
      </w:r>
    </w:p>
    <w:p>
      <w:pPr>
        <w:pBdr>
          <w:bottom w:val="single" w:color="1E2761" w:sz="6" w:space="1"/>
        </w:pBdr>
        <w:spacing w:after="200" w:before="80"/>
      </w:pPr>
      <w:r>
        <w:t xml:space="preserve"/>
      </w:r>
    </w:p>
    <w:p>
      <w:pPr>
        <w:pStyle w:val="Heading2"/>
        <w:spacing w:after="120" w:before="280"/>
      </w:pPr>
      <w:r>
        <w:rPr>
          <w:b/>
          <w:bCs/>
          <w:color w:val="1E2761"/>
        </w:rPr>
        <w:t xml:space="preserve">Setting</w:t>
      </w:r>
    </w:p>
    <w:p>
      <w:pPr>
        <w:spacing w:after="120" w:before="0"/>
      </w:pPr>
      <w:r>
        <w:t xml:space="preserve">Acme Lock &amp; Security Systems is a mid-size private manufacturer of correctional and prison-grade locking systems. Engineering department of about thirty. The student is one of four design engineers reporting to the engineering manager. All four engineers (the student, Kankles, Hitler, Jerome) are PEERS — no internal hierarchy among them. They all report to Goliath. The new manager, Goliath, took the role six months ago after a stint in consumer-goods packaging. He is smart and decent but does not yet fully understand how engineering work flows. The student is functionally already running the team’s day-to-day workflow without title or pay to match. The Engineering Lead role Goliath has been hinting at would create a NEW position above the four-engineer peer group; it is not a backfill of any existing slot.</w:t>
      </w:r>
    </w:p>
    <w:p>
      <w:pPr>
        <w:pStyle w:val="Heading2"/>
        <w:spacing w:after="120" w:before="280"/>
      </w:pPr>
      <w:r>
        <w:rPr>
          <w:b/>
          <w:bCs/>
          <w:color w:val="1E2761"/>
        </w:rPr>
        <w:t xml:space="preserve">Mission</w:t>
      </w:r>
    </w:p>
    <w:p>
      <w:pPr>
        <w:spacing w:after="120" w:before="0"/>
      </w:pPr>
      <w:r>
        <w:t xml:space="preserve">Move the team forward on Q4 deliverables while engineering two outcomes: (1) Goliath fires Kankles through HR so his headcount can be backfilled with a competent engineer, and (2) the Engineering Lead promotion Goliath has been hinting at for months gets formalized with a date and pay. Do this without firing Kankles personally (you have no authority to) and without going around Goliath to senior leadership. Manage three peers without formal authority. Hold the team accountable for the Monday-assigned, Wednesday-due project estimates that nobody actually does.</w:t>
      </w:r>
    </w:p>
    <w:p>
      <w:pPr>
        <w:pStyle w:val="Heading2"/>
        <w:spacing w:after="120" w:before="280"/>
      </w:pPr>
      <w:r>
        <w:rPr>
          <w:b/>
          <w:bCs/>
          <w:color w:val="1E2761"/>
        </w:rPr>
        <w:t xml:space="preserve">Leader Profile</w:t>
      </w:r>
    </w:p>
    <w:p>
      <w:pPr>
        <w:spacing w:after="80" w:before="0"/>
      </w:pPr>
      <w:r>
        <w:rPr>
          <w:b/>
          <w:bCs/>
          <w:color w:val="1E2761"/>
        </w:rPr>
        <w:t xml:space="preserve">Goliath — Engineering Manager (new boss)</w:t>
      </w:r>
    </w:p>
    <w:p>
      <w:pPr>
        <w:spacing w:after="120" w:before="0"/>
      </w:pPr>
      <w:r>
        <w:rPr>
          <w:b/>
          <w:bCs/>
        </w:rPr>
        <w:t xml:space="preserve">Background: </w:t>
      </w:r>
      <w:r>
        <w:t xml:space="preserve">Mid-30s, MBA from a state school, six months at Acme. Came from consumer-goods packaging. Lives in a suburb, married, two kids in elementary school. Drives a leased Q5. Reads management books and quotes them awkwardly. Plays in a recreational softball league.</w:t>
      </w:r>
    </w:p>
    <w:p>
      <w:pPr>
        <w:spacing w:after="120" w:before="0"/>
      </w:pPr>
      <w:r>
        <w:rPr>
          <w:b/>
          <w:bCs/>
        </w:rPr>
        <w:t xml:space="preserve">Motivation: </w:t>
      </w:r>
      <w:r>
        <w:t xml:space="preserve">Wants to be a good manager but is conflict-averse and protects his own stability above all. Genuinely respects the student’s engineering work. Does NOT want to be the new manager who fired the old guy in his first year. Took the Acme job partly because the prison-lock market is recession-proof and the comp band is generous.</w:t>
      </w:r>
    </w:p>
    <w:p>
      <w:pPr>
        <w:spacing w:after="120" w:before="0"/>
      </w:pPr>
      <w:r>
        <w:rPr>
          <w:b/>
          <w:bCs/>
        </w:rPr>
        <w:t xml:space="preserve">Behavior: </w:t>
      </w:r>
      <w:r>
        <w:t xml:space="preserve">Dangles the promotion. When pressed, retreats to corporate language: “budget cycle,” “hiring freeze,” “maybe end of the year,” “let me work on that.” Simultaneously loads more responsibility on the student (Smartsheet ownership, Monday assignments, Wednesday review meetings) without a title or pay raise to match.</w:t>
      </w:r>
    </w:p>
    <w:p>
      <w:pPr>
        <w:pStyle w:val="Heading2"/>
        <w:spacing w:after="120" w:before="280"/>
      </w:pPr>
      <w:r>
        <w:rPr>
          <w:b/>
          <w:bCs/>
          <w:color w:val="1E2761"/>
        </w:rPr>
        <w:t xml:space="preserve">Student Role and Stakes</w:t>
      </w:r>
    </w:p>
    <w:p>
      <w:pPr>
        <w:spacing w:after="120" w:before="0"/>
      </w:pPr>
      <w:r>
        <w:rPr>
          <w:b/>
          <w:bCs/>
        </w:rPr>
        <w:t xml:space="preserve">Role: </w:t>
      </w:r>
      <w:r>
        <w:t xml:space="preserve">Senior Design Engineer, three years at Acme. High performer. Designs locking mechanisms for state and federal correctional facilities. Recently given informal lead duties (scheduling, Smartsheet ownership, Monday assignments, Wednesday review meetings) without formal title or pay raise.</w:t>
      </w:r>
    </w:p>
    <w:p>
      <w:pPr>
        <w:spacing w:after="120" w:before="0"/>
      </w:pPr>
      <w:r>
        <w:rPr>
          <w:b/>
          <w:bCs/>
        </w:rPr>
        <w:t xml:space="preserve">Stakes: </w:t>
      </w:r>
      <w:r>
        <w:t xml:space="preserve">Promotion to Engineering Lead would carry title, raise (~$15-20K), and formal authority over team workload. Currently doing the lead’s job without the title or pay. Quality is starting to slip because Kankles’ errors and missed Wednesday estimates are eating the student’s nights. Other companies have approached. If this drags much longer, the student leaves. There is also a risk of becoming the “office hatchet man” — the person who pushed Kankles out — if the student takes ownership of the performance management Goliath should be doing.</w:t>
      </w:r>
    </w:p>
    <w:p>
      <w:pPr>
        <w:spacing w:after="120" w:before="0"/>
      </w:pPr>
      <w:r>
        <w:rPr>
          <w:b/>
          <w:bCs/>
        </w:rPr>
        <w:t xml:space="preserve">Nature of risk: </w:t>
      </w:r>
      <w:r>
        <w:t xml:space="preserve">Career and reputational. Mismanaging this scenario damages relationships with peers, with Goliath, and with HR. Potentially burns the promotion entirely. No legal or criminal exposure.</w:t>
      </w:r>
    </w:p>
    <w:p>
      <w:pPr>
        <w:pStyle w:val="Heading2"/>
        <w:spacing w:after="120" w:before="280"/>
      </w:pPr>
      <w:r>
        <w:rPr>
          <w:b/>
          <w:bCs/>
          <w:color w:val="1E2761"/>
        </w:rPr>
        <w:t xml:space="preserve">The Morally Ambiguous Ask</w:t>
      </w:r>
    </w:p>
    <w:p>
      <w:pPr>
        <w:pBdr>
          <w:left w:val="single" w:color="B85042" w:sz="18" w:space="12"/>
        </w:pBdr>
        <w:spacing w:after="160" w:before="120"/>
        <w:ind w:left="720" w:right="720"/>
      </w:pPr>
      <w:r>
        <w:rPr>
          <w:i/>
          <w:iCs/>
          <w:color w:val="475569"/>
        </w:rPr>
        <w:t xml:space="preserve">Goliath: “Hey, glad you stopped by. Listen, your Smartsheet build has been a lifesaver. On the promotion thing — I know we keep circling back to it, and I want to get there, but with the budget cycle and the hiring freeze HQ put us under, I just can’t move on it right now. Maybe end of the year? In the meantime, you’re basically running point on the team workflow already. Walk me through what you’ve got going. What do you need from me?”</w:t>
      </w:r>
    </w:p>
    <w:p>
      <w:pPr>
        <w:spacing w:after="120" w:before="0"/>
      </w:pPr>
      <w:r>
        <w:rPr>
          <w:b/>
          <w:bCs/>
          <w:color w:val="1E2761"/>
        </w:rPr>
        <w:t xml:space="preserve">Operational and structural context: </w:t>
      </w:r>
      <w:r>
        <w:t xml:space="preserve">The student has been informally enforcing schedules, mentoring Hitler on CAD, absorbing Kankles’ errors, and chasing peers for Wednesday estimates. Mondays: assignments go out on Smartsheet with two days for peers to review and respond with completion estimates. Wednesdays: team meeting where peers should arrive with estimates ready. In practice nobody reviews. They guess on the spot. Estimates are wildly optimistic. Then they miss the dates. The student gets blamed for slipping schedules even though the student did not produce the estimates. Goliath has hinted at the promotion four times in six months but has never put it in writing or named a date.</w:t>
      </w:r>
    </w:p>
    <w:p>
      <w:pPr>
        <w:pStyle w:val="Heading2"/>
        <w:spacing w:after="120" w:before="280"/>
      </w:pPr>
      <w:r>
        <w:rPr>
          <w:b/>
          <w:bCs/>
          <w:color w:val="1E2761"/>
        </w:rPr>
        <w:t xml:space="preserve">The Three Peers</w:t>
      </w:r>
    </w:p>
    <w:p>
      <w:pPr>
        <w:spacing w:after="120" w:before="0"/>
      </w:pPr>
      <w:r>
        <w:t xml:space="preserve">These are PEERS, not subordinates. The student has no formal authority over any of them. Goliath has implicitly delegated workflow management to the student without giving them the title or authority to enforce.</w:t>
      </w:r>
    </w:p>
    <w:p>
      <w:pPr>
        <w:pStyle w:val="Heading3"/>
        <w:spacing w:after="80" w:before="220"/>
      </w:pPr>
      <w:r>
        <w:rPr>
          <w:b/>
          <w:bCs/>
          <w:color w:val="B85042"/>
        </w:rPr>
        <w:t xml:space="preserve">Kankles — Senior Design Engineer (twelve years at the company)</w:t>
      </w:r>
    </w:p>
    <w:p>
      <w:pPr>
        <w:spacing w:after="120" w:before="0"/>
      </w:pPr>
      <w:r>
        <w:rPr>
          <w:b/>
          <w:bCs/>
        </w:rPr>
        <w:t xml:space="preserve">Backstory: </w:t>
      </w:r>
      <w:r>
        <w:t xml:space="preserve">58 years old, twelve years at Acme. Wife Joyce is a retired schoolteacher. Three grandkids he talks about constantly. Restoring a 1972 Chevelle in his garage. Wears short-sleeve dress shirts year-round. Tuna sandwich for lunch every single day. Was a competent engineer in the era of paper drawings.</w:t>
      </w:r>
    </w:p>
    <w:p>
      <w:pPr>
        <w:spacing w:after="120" w:before="0"/>
      </w:pPr>
      <w:r>
        <w:rPr>
          <w:b/>
          <w:bCs/>
        </w:rPr>
        <w:t xml:space="preserve">Current performance: </w:t>
      </w:r>
      <w:r>
        <w:t xml:space="preserve">Cannot reliably operate the SolidWorks CAD environment four years after the company switched to it. Makes consistent errors that get caught in design review. Plays the “I’ve been here forever” card. Talks too much, gossips, takes long lunches. Hired by the previous manager who was loyal to him. Knows he is protected by Goliath’s conflict aversion.</w:t>
      </w:r>
    </w:p>
    <w:p>
      <w:pPr>
        <w:spacing w:after="120" w:before="0"/>
      </w:pPr>
      <w:r>
        <w:rPr>
          <w:b/>
          <w:bCs/>
          <w:color w:val="B85042"/>
        </w:rPr>
        <w:t xml:space="preserve">How he behaves with the student: </w:t>
      </w:r>
      <w:r>
        <w:t xml:space="preserve">Friendly, chatty on the surface. Complains about CAD software. Asks about your family. Volunteers war stories from years ago. Does NOT volunteer that he is struggling. Defensive when challenged: “the project requirements weren’t clear,” “I had a doctor’s appointment.” If the student aggressively confronts him, he hints at age discrimination, hostile workplace, or longer tenure. Will not be performance-managed by a peer, full stop.</w:t>
      </w:r>
    </w:p>
    <w:p>
      <w:pPr>
        <w:pStyle w:val="Heading3"/>
        <w:spacing w:after="80" w:before="220"/>
      </w:pPr>
      <w:r>
        <w:rPr>
          <w:b/>
          <w:bCs/>
          <w:color w:val="B85042"/>
        </w:rPr>
        <w:t xml:space="preserve">Hitler — Junior Design Engineer (three months in)</w:t>
      </w:r>
    </w:p>
    <w:p>
      <w:pPr>
        <w:spacing w:after="120" w:before="0"/>
      </w:pPr>
      <w:r>
        <w:rPr>
          <w:b/>
          <w:bCs/>
        </w:rPr>
        <w:t xml:space="preserve">Backstory: </w:t>
      </w:r>
      <w:r>
        <w:t xml:space="preserve">24, BS in Mechanical Engineering from State. First full-time engineering job. Lives in a one-bedroom apartment in the city, hikes most weekends. Drinks too many Celsius energy drinks. Goal: PE license in five years.</w:t>
      </w:r>
    </w:p>
    <w:p>
      <w:pPr>
        <w:spacing w:after="120" w:before="0"/>
      </w:pPr>
      <w:r>
        <w:rPr>
          <w:b/>
          <w:bCs/>
        </w:rPr>
        <w:t xml:space="preserve">Current performance: </w:t>
      </w:r>
      <w:r>
        <w:t xml:space="preserve">Sharp, eager, picking up SolidWorks fast. On track to surpass Kankles’ productivity within ninety days. Honest, helpful, takes meticulous notes (he keeps a spreadsheet of every project he has touched). Looks to the student as informal mentor.</w:t>
      </w:r>
    </w:p>
    <w:p>
      <w:pPr>
        <w:spacing w:after="120" w:before="0"/>
      </w:pPr>
      <w:r>
        <w:rPr>
          <w:b/>
          <w:bCs/>
          <w:color w:val="B85042"/>
        </w:rPr>
        <w:t xml:space="preserve">How he behaves with the student: </w:t>
      </w:r>
      <w:r>
        <w:t xml:space="preserve">Enthusiastic, asks lots of questions. “Totally,” “for sure,” “yeah I noticed that too.” If the student asks for objective data on team workflow he provides it because he tracks everything. Does NOT want to be the new guy who got the old guy fired — push back if the student tries to use him as a hatchet. But if the student frames it as “help me document the structural pattern for Goliath,” Hitler is in.</w:t>
      </w:r>
    </w:p>
    <w:p>
      <w:pPr>
        <w:pStyle w:val="Heading3"/>
        <w:spacing w:after="80" w:before="220"/>
      </w:pPr>
      <w:r>
        <w:rPr>
          <w:b/>
          <w:bCs/>
          <w:color w:val="B85042"/>
        </w:rPr>
        <w:t xml:space="preserve">Jerome — Senior Design Engineer (six years at the company)</w:t>
      </w:r>
    </w:p>
    <w:p>
      <w:pPr>
        <w:spacing w:after="120" w:before="0"/>
      </w:pPr>
      <w:r>
        <w:rPr>
          <w:b/>
          <w:bCs/>
        </w:rPr>
        <w:t xml:space="preserve">Backstory: </w:t>
      </w:r>
      <w:r>
        <w:t xml:space="preserve">45, married to a teacher, two teenagers. Drives a 2014 Camry. Coffee from the same diner every morning. Saturday morning poker with the same five guys for ten years. BS in ME from a state school. Has watched three engineering managers come and go.</w:t>
      </w:r>
    </w:p>
    <w:p>
      <w:pPr>
        <w:spacing w:after="120" w:before="0"/>
      </w:pPr>
      <w:r>
        <w:rPr>
          <w:b/>
          <w:bCs/>
        </w:rPr>
        <w:t xml:space="preserve">Current performance: </w:t>
      </w:r>
      <w:r>
        <w:t xml:space="preserve">Technically competent, does the job correctly, does the BARE MINIMUM. No overtime, no volunteering, no organizational citizenship. Self-sufficient. Zero ambition. Cynical about company politics; has seen the patterns repeat.</w:t>
      </w:r>
    </w:p>
    <w:p>
      <w:pPr>
        <w:spacing w:after="120" w:before="0"/>
      </w:pPr>
      <w:r>
        <w:rPr>
          <w:b/>
          <w:bCs/>
          <w:color w:val="B85042"/>
        </w:rPr>
        <w:t xml:space="preserve">How he behaves with the student: </w:t>
      </w:r>
      <w:r>
        <w:t xml:space="preserve">Dry, blunt, slightly cynical. “Look,” “here’s the thing,” “I’ll be straight with you.” Will give the student honest pattern confirmation if asked as a peer (“yeah, none of us actually read the Monday assignments before the Wednesday meeting; we all just guess”). Will NOT take on extra work, will NOT join a campaign, will NOT be treated as a subordinate. “You’re not my boss. Even if Goliath made you Engineering Lead next month, you’re still not my boss. Read the org chart.”</w:t>
      </w:r>
    </w:p>
    <w:p>
      <w:pPr>
        <w:pStyle w:val="Heading2"/>
        <w:spacing w:after="120" w:before="280"/>
      </w:pPr>
      <w:r>
        <w:rPr>
          <w:b/>
          <w:bCs/>
          <w:color w:val="1E2761"/>
        </w:rPr>
        <w:t xml:space="preserve">Win Conditions</w:t>
      </w:r>
    </w:p>
    <w:p>
      <w:pPr>
        <w:spacing w:after="120" w:before="0"/>
      </w:pPr>
      <w:r>
        <w:t xml:space="preserve">The student wins Scenario 6 if all three of these happen:</w:t>
      </w:r>
    </w:p>
    <w:p>
      <w:pPr>
        <w:pStyle w:val="ListParagraph"/>
        <w:numPr>
          <w:ilvl w:val="0"/>
          <w:numId w:val="2"/>
        </w:numPr>
        <w:spacing w:after="80"/>
      </w:pPr>
      <w:r>
        <w:t xml:space="preserve">Goliath commits to TERMINATING Kankles through HR. The realistic mechanism is a documented 30-day PIP focused on CAD competency — which Kankles will fail — followed by separation. Goliath OWNS the action. The student does NOT fire Kankles personally, does NOT confront him as if they were his manager (they are peers), and does NOT need to be involved in the HR process. Once Kankles is gone, his peer-grade headcount gets backfilled with a competent engineer through normal hiring.</w:t>
      </w:r>
    </w:p>
    <w:p>
      <w:pPr>
        <w:pStyle w:val="ListParagraph"/>
        <w:numPr>
          <w:ilvl w:val="0"/>
          <w:numId w:val="2"/>
        </w:numPr>
        <w:spacing w:after="80"/>
      </w:pPr>
      <w:r>
        <w:t xml:space="preserve">Student gets a formal promotion to Engineering Lead with title, authority, and pay — or at minimum a written commitment with a specific date inside ninety days. This is a SEPARATE conversation from the Kankles termination, with its own org-chart and comp-band approval. Verbal “maybes” do not count. The student walks out with a concrete decision.</w:t>
      </w:r>
    </w:p>
    <w:p>
      <w:pPr>
        <w:pStyle w:val="ListParagraph"/>
        <w:numPr>
          <w:ilvl w:val="0"/>
          <w:numId w:val="2"/>
        </w:numPr>
        <w:spacing w:after="80"/>
      </w:pPr>
      <w:r>
        <w:t xml:space="preserve">The Wednesday meeting dysfunction is reframed as a process problem with a documented fix. Smartsheet automation, Monday-morning reminders, escalation to Goliath when peers do not respond by Wednesday morning, project plans tied to a review board. Anything that takes the enforcement burden off the student personally.</w:t>
      </w:r>
    </w:p>
    <w:p>
      <w:pPr>
        <w:spacing w:after="40"/>
      </w:pPr>
      <w:r>
        <w:t xml:space="preserve"/>
      </w:r>
    </w:p>
    <w:p>
      <w:pPr>
        <w:spacing w:after="200" w:before="0"/>
      </w:pPr>
      <w:r>
        <w:rPr>
          <w:b/>
          <w:bCs/>
          <w:color w:val="B85042"/>
        </w:rPr>
        <w:t xml:space="preserve">Note on independence: </w:t>
      </w:r>
      <w:r>
        <w:t xml:space="preserve">The Kankles termination and the Engineering Lead promotion are two SEPARATE decisions Goliath has to make. They are not contingent on each other. The student should not pitch them as a package (“fire Kankles and use his slot for my promotion”) — that conflates an HR action with an org-chart action and gives Goliath an easy way to defer one or both. Pitch them as two independent structural cases.</w:t>
      </w:r>
    </w:p>
    <w:p>
      <w:pPr>
        <w:spacing w:after="60"/>
      </w:pPr>
      <w:r>
        <w:t xml:space="preserve"/>
      </w:r>
    </w:p>
    <w:p>
      <w:pPr>
        <w:pStyle w:val="Heading3"/>
        <w:spacing w:after="80" w:before="220"/>
      </w:pPr>
      <w:r>
        <w:rPr>
          <w:b/>
          <w:bCs/>
          <w:color w:val="B85042"/>
        </w:rPr>
        <w:t xml:space="preserve">Partial credit (“soft win”)</w:t>
      </w:r>
    </w:p>
    <w:p>
      <w:pPr>
        <w:spacing w:after="120" w:before="0"/>
      </w:pPr>
      <w:r>
        <w:t xml:space="preserve">Two of the three is partial credit. Examples:</w:t>
      </w:r>
    </w:p>
    <w:p>
      <w:pPr>
        <w:pStyle w:val="ListParagraph"/>
        <w:numPr>
          <w:ilvl w:val="0"/>
          <w:numId w:val="3"/>
        </w:numPr>
        <w:spacing w:after="80"/>
      </w:pPr>
      <w:r>
        <w:t xml:space="preserve">Got promotion + Kankles termination started but Wednesday process still broken — student is now the lead with authority and a competent backfill incoming, but the team’s habits did not change.</w:t>
      </w:r>
    </w:p>
    <w:p>
      <w:pPr>
        <w:pStyle w:val="ListParagraph"/>
        <w:numPr>
          <w:ilvl w:val="0"/>
          <w:numId w:val="3"/>
        </w:numPr>
        <w:spacing w:after="80"/>
      </w:pPr>
      <w:r>
        <w:t xml:space="preserve">Got Wednesday process fixed + promotion timeline but Kankles still in his seat — the structural fix exposes Kankles enough that he becomes Goliath’s next problem, on a delayed timeline.</w:t>
      </w:r>
    </w:p>
    <w:p>
      <w:pPr>
        <w:pStyle w:val="ListParagraph"/>
        <w:numPr>
          <w:ilvl w:val="0"/>
          <w:numId w:val="3"/>
        </w:numPr>
        <w:spacing w:after="80"/>
      </w:pPr>
      <w:r>
        <w:t xml:space="preserve">Got Kankles terminated + Wednesday process fixed but no promotion — the team is healthier but the student is still doing lead work for IC pay; pressure to leave Acme increases.</w:t>
      </w:r>
    </w:p>
    <w:p>
      <w:pPr>
        <w:pStyle w:val="Heading2"/>
        <w:spacing w:after="120" w:before="280"/>
      </w:pPr>
      <w:r>
        <w:rPr>
          <w:b/>
          <w:bCs/>
          <w:color w:val="1E2761"/>
        </w:rPr>
        <w:t xml:space="preserve">Decision Tree</w:t>
      </w:r>
    </w:p>
    <w:p>
      <w:pPr>
        <w:spacing w:after="120" w:before="0"/>
      </w:pPr>
      <w:r>
        <w:t xml:space="preserve">Each path represents the dominant approach the student takes. Real student decisions blend paths; the tree is a simplification for analytic clarity.</w:t>
      </w:r>
    </w:p>
    <w:tbl>
      <w:tblPr>
        <w:tblW w:type="dxa" w:w="936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2600"/>
        <w:gridCol w:w="2600"/>
        <w:gridCol w:w="2860"/>
        <w:gridCol w:w="600"/>
      </w:tblGrid>
      <w:tr>
        <w:tc>
          <w:tcPr>
            <w:tcW w:type="dxa" w:w="700"/>
            <w:shd w:fill="1E2761" w:color="auto" w:val="clear"/>
            <w:tcMar>
              <w:top w:type="dxa" w:w="100"/>
              <w:left w:type="dxa" w:w="140"/>
              <w:bottom w:type="dxa" w:w="100"/>
              <w:right w:type="dxa" w:w="140"/>
            </w:tcMar>
            <w:vAlign w:val="top"/>
          </w:tcPr>
          <w:p>
            <w:pPr>
              <w:spacing w:after="0"/>
            </w:pPr>
            <w:r>
              <w:rPr>
                <w:b/>
                <w:bCs/>
                <w:color w:val="FFFFFF"/>
              </w:rPr>
              <w:t xml:space="preserve">Path</w:t>
            </w:r>
          </w:p>
        </w:tc>
        <w:tc>
          <w:tcPr>
            <w:tcW w:type="dxa" w:w="2600"/>
            <w:shd w:fill="1E2761" w:color="auto" w:val="clear"/>
            <w:tcMar>
              <w:top w:type="dxa" w:w="100"/>
              <w:left w:type="dxa" w:w="140"/>
              <w:bottom w:type="dxa" w:w="100"/>
              <w:right w:type="dxa" w:w="140"/>
            </w:tcMar>
            <w:vAlign w:val="top"/>
          </w:tcPr>
          <w:p>
            <w:pPr>
              <w:spacing w:after="0"/>
            </w:pPr>
            <w:r>
              <w:rPr>
                <w:b/>
                <w:bCs/>
                <w:color w:val="FFFFFF"/>
              </w:rPr>
              <w:t xml:space="preserve">Approach</w:t>
            </w:r>
          </w:p>
        </w:tc>
        <w:tc>
          <w:tcPr>
            <w:tcW w:type="dxa" w:w="2600"/>
            <w:shd w:fill="1E2761" w:color="auto" w:val="clear"/>
            <w:tcMar>
              <w:top w:type="dxa" w:w="100"/>
              <w:left w:type="dxa" w:w="140"/>
              <w:bottom w:type="dxa" w:w="100"/>
              <w:right w:type="dxa" w:w="140"/>
            </w:tcMar>
            <w:vAlign w:val="top"/>
          </w:tcPr>
          <w:p>
            <w:pPr>
              <w:spacing w:after="0"/>
            </w:pPr>
            <w:r>
              <w:rPr>
                <w:b/>
                <w:bCs/>
                <w:color w:val="FFFFFF"/>
              </w:rPr>
              <w:t xml:space="preserve">Immediate Outcome</w:t>
            </w:r>
          </w:p>
        </w:tc>
        <w:tc>
          <w:tcPr>
            <w:tcW w:type="dxa" w:w="2860"/>
            <w:shd w:fill="1E2761" w:color="auto" w:val="clear"/>
            <w:tcMar>
              <w:top w:type="dxa" w:w="100"/>
              <w:left w:type="dxa" w:w="140"/>
              <w:bottom w:type="dxa" w:w="100"/>
              <w:right w:type="dxa" w:w="140"/>
            </w:tcMar>
            <w:vAlign w:val="top"/>
          </w:tcPr>
          <w:p>
            <w:pPr>
              <w:spacing w:after="0"/>
            </w:pPr>
            <w:r>
              <w:rPr>
                <w:b/>
                <w:bCs/>
                <w:color w:val="FFFFFF"/>
              </w:rPr>
              <w:t xml:space="preserve">Downstream Consequence</w:t>
            </w:r>
          </w:p>
        </w:tc>
        <w:tc>
          <w:tcPr>
            <w:tcW w:type="dxa" w:w="600"/>
            <w:shd w:fill="1E2761" w:color="auto" w:val="clear"/>
            <w:tcMar>
              <w:top w:type="dxa" w:w="100"/>
              <w:left w:type="dxa" w:w="140"/>
              <w:bottom w:type="dxa" w:w="100"/>
              <w:right w:type="dxa" w:w="140"/>
            </w:tcMar>
            <w:vAlign w:val="top"/>
          </w:tcPr>
          <w:p>
            <w:pPr>
              <w:spacing w:after="0"/>
            </w:pPr>
            <w:r>
              <w:rPr>
                <w:b/>
                <w:bCs/>
                <w:color w:val="FFFFFF"/>
              </w:rPr>
              <w:t xml:space="preserve">Severity</w:t>
            </w:r>
          </w:p>
        </w:tc>
      </w:tr>
      <w:tr>
        <w:tc>
          <w:tcPr>
            <w:tcW w:type="dxa" w:w="700"/>
            <w:shd w:fill="FFFFFF" w:color="auto" w:val="clear"/>
            <w:tcMar>
              <w:top w:type="dxa" w:w="100"/>
              <w:left w:type="dxa" w:w="140"/>
              <w:bottom w:type="dxa" w:w="100"/>
              <w:right w:type="dxa" w:w="140"/>
            </w:tcMar>
            <w:vAlign w:val="top"/>
          </w:tcPr>
          <w:p>
            <w:r>
              <w:rPr>
                <w:b/>
                <w:bCs/>
                <w:color w:val="1E2761"/>
              </w:rPr>
              <w:t xml:space="preserve">Path A</w:t>
            </w:r>
          </w:p>
        </w:tc>
        <w:tc>
          <w:tcPr>
            <w:tcW w:type="dxa" w:w="2600"/>
            <w:shd w:fill="FFFFFF" w:color="auto" w:val="clear"/>
            <w:tcMar>
              <w:top w:type="dxa" w:w="100"/>
              <w:left w:type="dxa" w:w="140"/>
              <w:bottom w:type="dxa" w:w="100"/>
              <w:right w:type="dxa" w:w="140"/>
            </w:tcMar>
            <w:vAlign w:val="top"/>
          </w:tcPr>
          <w:p>
            <w:pPr>
              <w:spacing w:after="0"/>
            </w:pPr>
            <w:r>
              <w:rPr>
                <w:b w:val="false"/>
                <w:bCs w:val="false"/>
                <w:color w:val="000000"/>
              </w:rPr>
              <w:t xml:space="preserve">Try to fire Kankles by force. Confront him as if you were his manager, demand he meet performance standards, escalate over Goliath’s head to senior leadership or HR when nothing changes.</w:t>
            </w:r>
          </w:p>
        </w:tc>
        <w:tc>
          <w:tcPr>
            <w:tcW w:type="dxa" w:w="2600"/>
            <w:shd w:fill="FFFFFF" w:color="auto" w:val="clear"/>
            <w:tcMar>
              <w:top w:type="dxa" w:w="100"/>
              <w:left w:type="dxa" w:w="140"/>
              <w:bottom w:type="dxa" w:w="100"/>
              <w:right w:type="dxa" w:w="140"/>
            </w:tcMar>
            <w:vAlign w:val="top"/>
          </w:tcPr>
          <w:p>
            <w:pPr>
              <w:spacing w:after="0"/>
            </w:pPr>
            <w:r>
              <w:rPr>
                <w:b w:val="false"/>
                <w:bCs w:val="false"/>
                <w:color w:val="000000"/>
              </w:rPr>
              <w:t xml:space="preserve">Kankles plays victim and complains to HR first. Senior leadership hears “new person creating drama in their first year as informal lead.” Goliath feels undermined and humiliated.</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HR labels the student as creating a hostile environment. Promotion off the table for 12+ months. Peers resent going around the boss. Kankles stays in his seat (now harder to fire). Student burns out and leaves Acme within six months.</w:t>
            </w:r>
          </w:p>
        </w:tc>
        <w:tc>
          <w:tcPr>
            <w:tcW w:type="dxa" w:w="600"/>
            <w:shd w:fill="B85042" w:color="auto" w:val="clear"/>
            <w:tcMar>
              <w:top w:type="dxa" w:w="100"/>
              <w:left w:type="dxa" w:w="140"/>
              <w:bottom w:type="dxa" w:w="100"/>
              <w:right w:type="dxa" w:w="140"/>
            </w:tcMar>
            <w:vAlign w:val="top"/>
          </w:tcPr>
          <w:p>
            <w:pPr>
              <w:spacing w:after="0"/>
            </w:pPr>
            <w:r>
              <w:rPr>
                <w:b/>
                <w:bCs/>
                <w:color w:val="FFFFFF"/>
              </w:rPr>
              <w:t xml:space="preserve">Catastrophic</w:t>
            </w:r>
          </w:p>
        </w:tc>
      </w:tr>
      <w:tr>
        <w:tc>
          <w:tcPr>
            <w:tcW w:type="dxa" w:w="700"/>
            <w:shd w:fill="F8FAFC" w:color="auto" w:val="clear"/>
            <w:tcMar>
              <w:top w:type="dxa" w:w="100"/>
              <w:left w:type="dxa" w:w="140"/>
              <w:bottom w:type="dxa" w:w="100"/>
              <w:right w:type="dxa" w:w="140"/>
            </w:tcMar>
            <w:vAlign w:val="top"/>
          </w:tcPr>
          <w:p>
            <w:r>
              <w:rPr>
                <w:b/>
                <w:bCs/>
                <w:color w:val="1E2761"/>
              </w:rPr>
              <w:t xml:space="preserve">Path B</w:t>
            </w:r>
          </w:p>
        </w:tc>
        <w:tc>
          <w:tcPr>
            <w:tcW w:type="dxa" w:w="2600"/>
            <w:shd w:fill="F8FAFC" w:color="auto" w:val="clear"/>
            <w:tcMar>
              <w:top w:type="dxa" w:w="100"/>
              <w:left w:type="dxa" w:w="140"/>
              <w:bottom w:type="dxa" w:w="100"/>
              <w:right w:type="dxa" w:w="140"/>
            </w:tcMar>
            <w:vAlign w:val="top"/>
          </w:tcPr>
          <w:p>
            <w:pPr>
              <w:spacing w:after="0"/>
            </w:pPr>
            <w:r>
              <w:rPr>
                <w:b w:val="false"/>
                <w:bCs w:val="false"/>
                <w:color w:val="000000"/>
              </w:rPr>
              <w:t xml:space="preserve">Withdraw. Stop covering for Kankles, let projects miss customer deadlines, reduce hours to compensate for unpaid lead work.</w:t>
            </w:r>
          </w:p>
        </w:tc>
        <w:tc>
          <w:tcPr>
            <w:tcW w:type="dxa" w:w="2600"/>
            <w:shd w:fill="F8FAFC" w:color="auto" w:val="clear"/>
            <w:tcMar>
              <w:top w:type="dxa" w:w="100"/>
              <w:left w:type="dxa" w:w="140"/>
              <w:bottom w:type="dxa" w:w="100"/>
              <w:right w:type="dxa" w:w="140"/>
            </w:tcMar>
            <w:vAlign w:val="top"/>
          </w:tcPr>
          <w:p>
            <w:pPr>
              <w:spacing w:after="0"/>
            </w:pPr>
            <w:r>
              <w:rPr>
                <w:b w:val="false"/>
                <w:bCs w:val="false"/>
                <w:color w:val="000000"/>
              </w:rPr>
              <w:t xml:space="preserve">Quality slips. Customer escalation lands on the student’s desk because they own the Smartsheet.</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Goliath blames the student for “letting it happen.” Performance review takes a hit. Promotion off the table. Student gets a poor reference if they leave.</w:t>
            </w:r>
          </w:p>
        </w:tc>
        <w:tc>
          <w:tcPr>
            <w:tcW w:type="dxa" w:w="600"/>
            <w:shd w:fill="B85042" w:color="auto" w:val="clear"/>
            <w:tcMar>
              <w:top w:type="dxa" w:w="100"/>
              <w:left w:type="dxa" w:w="140"/>
              <w:bottom w:type="dxa" w:w="100"/>
              <w:right w:type="dxa" w:w="140"/>
            </w:tcMar>
            <w:vAlign w:val="top"/>
          </w:tcPr>
          <w:p>
            <w:pPr>
              <w:spacing w:after="0"/>
            </w:pPr>
            <w:r>
              <w:rPr>
                <w:b/>
                <w:bCs/>
                <w:color w:val="FFFFFF"/>
              </w:rPr>
              <w:t xml:space="preserve">Severe</w:t>
            </w:r>
          </w:p>
        </w:tc>
      </w:tr>
      <w:tr>
        <w:tc>
          <w:tcPr>
            <w:tcW w:type="dxa" w:w="700"/>
            <w:shd w:fill="FFFFFF" w:color="auto" w:val="clear"/>
            <w:tcMar>
              <w:top w:type="dxa" w:w="100"/>
              <w:left w:type="dxa" w:w="140"/>
              <w:bottom w:type="dxa" w:w="100"/>
              <w:right w:type="dxa" w:w="140"/>
            </w:tcMar>
            <w:vAlign w:val="top"/>
          </w:tcPr>
          <w:p>
            <w:r>
              <w:rPr>
                <w:b/>
                <w:bCs/>
                <w:color w:val="1E2761"/>
              </w:rPr>
              <w:t xml:space="preserve">Path C</w:t>
            </w:r>
          </w:p>
        </w:tc>
        <w:tc>
          <w:tcPr>
            <w:tcW w:type="dxa" w:w="2600"/>
            <w:shd w:fill="FFFFFF" w:color="auto" w:val="clear"/>
            <w:tcMar>
              <w:top w:type="dxa" w:w="100"/>
              <w:left w:type="dxa" w:w="140"/>
              <w:bottom w:type="dxa" w:w="100"/>
              <w:right w:type="dxa" w:w="140"/>
            </w:tcMar>
            <w:vAlign w:val="top"/>
          </w:tcPr>
          <w:p>
            <w:pPr>
              <w:spacing w:after="0"/>
            </w:pPr>
            <w:r>
              <w:rPr>
                <w:b w:val="false"/>
                <w:bCs w:val="false"/>
                <w:color w:val="000000"/>
              </w:rPr>
              <w:t xml:space="preserve">Keep grinding silently. Hope the promotion materializes. Continue to absorb Kankles’ problems and the missed estimates without surfacing the structural issue.</w:t>
            </w:r>
          </w:p>
        </w:tc>
        <w:tc>
          <w:tcPr>
            <w:tcW w:type="dxa" w:w="2600"/>
            <w:shd w:fill="FFFFFF" w:color="auto" w:val="clear"/>
            <w:tcMar>
              <w:top w:type="dxa" w:w="100"/>
              <w:left w:type="dxa" w:w="140"/>
              <w:bottom w:type="dxa" w:w="100"/>
              <w:right w:type="dxa" w:w="140"/>
            </w:tcMar>
            <w:vAlign w:val="top"/>
          </w:tcPr>
          <w:p>
            <w:pPr>
              <w:spacing w:after="0"/>
            </w:pPr>
            <w:r>
              <w:rPr>
                <w:b w:val="false"/>
                <w:bCs w:val="false"/>
                <w:color w:val="000000"/>
              </w:rPr>
              <w:t xml:space="preserve">No conflict, no movement. Goliath continues to dangle the promotion.</w:t>
            </w:r>
          </w:p>
        </w:tc>
        <w:tc>
          <w:tcPr>
            <w:tcW w:type="dxa" w:w="2860"/>
            <w:shd w:fill="FFFFFF" w:color="auto" w:val="clear"/>
            <w:tcMar>
              <w:top w:type="dxa" w:w="100"/>
              <w:left w:type="dxa" w:w="140"/>
              <w:bottom w:type="dxa" w:w="100"/>
              <w:right w:type="dxa" w:w="140"/>
            </w:tcMar>
            <w:vAlign w:val="top"/>
          </w:tcPr>
          <w:p>
            <w:pPr>
              <w:spacing w:after="0"/>
            </w:pPr>
            <w:r>
              <w:rPr>
                <w:b w:val="false"/>
                <w:bCs w:val="false"/>
                <w:color w:val="000000"/>
              </w:rPr>
              <w:t xml:space="preserve">A year passes, no promotion, student is exhausted. Eventually leaves the company. Goliath hires a replacement and the cycle repeats with the next person.</w:t>
            </w:r>
          </w:p>
        </w:tc>
        <w:tc>
          <w:tcPr>
            <w:tcW w:type="dxa" w:w="600"/>
            <w:shd w:fill="D4A574" w:color="auto" w:val="clear"/>
            <w:tcMar>
              <w:top w:type="dxa" w:w="100"/>
              <w:left w:type="dxa" w:w="140"/>
              <w:bottom w:type="dxa" w:w="100"/>
              <w:right w:type="dxa" w:w="140"/>
            </w:tcMar>
            <w:vAlign w:val="top"/>
          </w:tcPr>
          <w:p>
            <w:pPr>
              <w:spacing w:after="0"/>
            </w:pPr>
            <w:r>
              <w:rPr>
                <w:b/>
                <w:bCs/>
                <w:color w:val="FFFFFF"/>
              </w:rPr>
              <w:t xml:space="preserve">Suboptimal</w:t>
            </w:r>
          </w:p>
        </w:tc>
      </w:tr>
      <w:tr>
        <w:tc>
          <w:tcPr>
            <w:tcW w:type="dxa" w:w="700"/>
            <w:shd w:fill="F8FAFC" w:color="auto" w:val="clear"/>
            <w:tcMar>
              <w:top w:type="dxa" w:w="100"/>
              <w:left w:type="dxa" w:w="140"/>
              <w:bottom w:type="dxa" w:w="100"/>
              <w:right w:type="dxa" w:w="140"/>
            </w:tcMar>
            <w:vAlign w:val="top"/>
          </w:tcPr>
          <w:p>
            <w:r>
              <w:rPr>
                <w:b/>
                <w:bCs/>
                <w:color w:val="1E2761"/>
              </w:rPr>
              <w:t xml:space="preserve">Path D</w:t>
            </w:r>
          </w:p>
        </w:tc>
        <w:tc>
          <w:tcPr>
            <w:tcW w:type="dxa" w:w="2600"/>
            <w:shd w:fill="F8FAFC" w:color="auto" w:val="clear"/>
            <w:tcMar>
              <w:top w:type="dxa" w:w="100"/>
              <w:left w:type="dxa" w:w="140"/>
              <w:bottom w:type="dxa" w:w="100"/>
              <w:right w:type="dxa" w:w="140"/>
            </w:tcMar>
            <w:vAlign w:val="top"/>
          </w:tcPr>
          <w:p>
            <w:pPr>
              <w:spacing w:after="0"/>
            </w:pPr>
            <w:r>
              <w:rPr>
                <w:b w:val="false"/>
                <w:bCs w:val="false"/>
                <w:color w:val="000000"/>
              </w:rPr>
              <w:t xml:space="preserve">Document pattern data over 60-90 days. Cultivate Hitler as documentation ally. Use Jerome as candid peer to validate. Bring Goliath TWO independent structural cases: (1) Kankles’ documented underperformance — here is what HR needs to act; (2) the Engineering Lead role — here is the team-productivity case for funding it. Ask for authority on the role, not a raise.</w:t>
            </w:r>
          </w:p>
        </w:tc>
        <w:tc>
          <w:tcPr>
            <w:tcW w:type="dxa" w:w="2600"/>
            <w:shd w:fill="F8FAFC" w:color="auto" w:val="clear"/>
            <w:tcMar>
              <w:top w:type="dxa" w:w="100"/>
              <w:left w:type="dxa" w:w="140"/>
              <w:bottom w:type="dxa" w:w="100"/>
              <w:right w:type="dxa" w:w="140"/>
            </w:tcMar>
            <w:vAlign w:val="top"/>
          </w:tcPr>
          <w:p>
            <w:pPr>
              <w:spacing w:after="0"/>
            </w:pPr>
            <w:r>
              <w:rPr>
                <w:b w:val="false"/>
                <w:bCs w:val="false"/>
                <w:color w:val="000000"/>
              </w:rPr>
              <w:t xml:space="preserve">Goliath sees the Kankles documentation and realizes a 30-day CAD-competency PIP gives him the paper trail HR needs (Kankles will fail it). Separately, he recognizes the Engineering Lead role is a real organizational gap that justifies a comp-band move. Two distinct decisions, both clearly justified.</w:t>
            </w:r>
          </w:p>
        </w:tc>
        <w:tc>
          <w:tcPr>
            <w:tcW w:type="dxa" w:w="2860"/>
            <w:shd w:fill="F8FAFC" w:color="auto" w:val="clear"/>
            <w:tcMar>
              <w:top w:type="dxa" w:w="100"/>
              <w:left w:type="dxa" w:w="140"/>
              <w:bottom w:type="dxa" w:w="100"/>
              <w:right w:type="dxa" w:w="140"/>
            </w:tcMar>
            <w:vAlign w:val="top"/>
          </w:tcPr>
          <w:p>
            <w:pPr>
              <w:spacing w:after="0"/>
            </w:pPr>
            <w:r>
              <w:rPr>
                <w:b w:val="false"/>
                <w:bCs w:val="false"/>
                <w:color w:val="000000"/>
              </w:rPr>
              <w:t xml:space="preserve">Goliath starts the HR conversation on Kankles within a week. PIP issued; Kankles fails it; separation by day 60. Headcount backfilled through normal hiring. SEPARATELY: Student’s Engineering Lead promotion formalized in writing with title, authority, and pay (date inside 90 days). Smartsheet workflow change deployed; Wednesday meetings operate against a real escalation path.</w:t>
            </w:r>
          </w:p>
        </w:tc>
        <w:tc>
          <w:tcPr>
            <w:tcW w:type="dxa" w:w="600"/>
            <w:shd w:fill="2C7A4B" w:color="auto" w:val="clear"/>
            <w:tcMar>
              <w:top w:type="dxa" w:w="100"/>
              <w:left w:type="dxa" w:w="140"/>
              <w:bottom w:type="dxa" w:w="100"/>
              <w:right w:type="dxa" w:w="140"/>
            </w:tcMar>
            <w:vAlign w:val="top"/>
          </w:tcPr>
          <w:p>
            <w:pPr>
              <w:spacing w:after="0"/>
            </w:pPr>
            <w:r>
              <w:rPr>
                <w:b/>
                <w:bCs/>
                <w:color w:val="FFFFFF"/>
              </w:rPr>
              <w:t xml:space="preserve">Optimal</w:t>
            </w:r>
          </w:p>
        </w:tc>
      </w:tr>
    </w:tbl>
    <w:p>
      <w:pPr>
        <w:spacing w:after="200"/>
      </w:pPr>
      <w:r>
        <w:t xml:space="preserve"/>
      </w:r>
    </w:p>
    <w:p>
      <w:pPr>
        <w:pStyle w:val="Heading2"/>
        <w:spacing w:after="120" w:before="280"/>
      </w:pPr>
      <w:r>
        <w:rPr>
          <w:b/>
          <w:bCs/>
          <w:color w:val="1E2761"/>
        </w:rPr>
        <w:t xml:space="preserve">Recommended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color="auto" w:val="clear"/>
            <w:tcMar>
              <w:top w:type="dxa" w:w="160"/>
              <w:left w:type="dxa" w:w="220"/>
              <w:bottom w:type="dxa" w:w="160"/>
              <w:right w:type="dxa" w:w="220"/>
            </w:tcMar>
          </w:tcPr>
          <w:p>
            <w:pPr>
              <w:spacing w:after="0"/>
            </w:pPr>
            <w:r>
              <w:rPr>
                <w:b/>
                <w:bCs/>
                <w:color w:val="1E2761"/>
              </w:rPr>
              <w:t xml:space="preserve">Optimal Outcome: </w:t>
            </w:r>
            <w:r>
              <w:t xml:space="preserve">Path D. The student’s strongest move is to engineer the situation so Goliath makes two SEPARATE good decisions, not to do either of them yourself. Three concrete moves carry the path. First, document for sixty to ninety days: every Wednesday meeting (who showed up with estimates, who guessed), every project (estimated date vs actual, by engineer), and Kankles’ rework rate and customer impact. Two months of data is enough to make the Kankles pattern undeniable. Second, engage Hitler as documentation ally (he already keeps meticulous notes — ask him to share them) and Jerome as candid peer (ask his honest read as a peer, not a manager; he will give it). Do NOT engage Kankles in confrontation — you are peers, you have no authority over him. Just document. Third, ask Goliath for a one-on-one. Bring TWO separate cases. On Kankles: “Here is the documentation. A 30-day CAD-competency PIP gives HR what they need; Kankles will not pass it. Once he’s out, the slot gets backfilled through normal hiring.” On the promotion: “Separately — here’s the case for the Engineering Lead role. Here’s the work I’m already doing, the accountability gap on the team, the productivity case for funding the role. I need a title, the authority to assign and accept work, and a date inside 90 days. The pay can follow once the role is formalized.” Two independent structural arguments, two independent commitments. That’s the win.</w:t>
            </w:r>
          </w:p>
        </w:tc>
      </w:tr>
    </w:tbl>
    <w:p>
      <w:pPr>
        <w:spacing w:after="160"/>
      </w:pPr>
      <w:r>
        <w:t xml:space="preserve"/>
      </w:r>
    </w:p>
    <w:p>
      <w:pPr>
        <w:pStyle w:val="Heading2"/>
        <w:spacing w:after="120" w:before="280"/>
      </w:pPr>
      <w:r>
        <w:rPr>
          <w:b/>
          <w:bCs/>
          <w:color w:val="1E2761"/>
        </w:rPr>
        <w:t xml:space="preserve">Discussion Questions</w:t>
      </w:r>
    </w:p>
    <w:p>
      <w:pPr>
        <w:pStyle w:val="ListParagraph"/>
        <w:numPr>
          <w:ilvl w:val="0"/>
          <w:numId w:val="2"/>
        </w:numPr>
        <w:spacing w:after="80"/>
      </w:pPr>
      <w:r>
        <w:t xml:space="preserve">When you have responsibility without authority, what are your real options? At what point does “informal lead” become “doing the lead’s job for free” and how do you tell?</w:t>
      </w:r>
    </w:p>
    <w:p>
      <w:pPr>
        <w:pStyle w:val="ListParagraph"/>
        <w:numPr>
          <w:ilvl w:val="0"/>
          <w:numId w:val="2"/>
        </w:numPr>
        <w:spacing w:after="80"/>
      </w:pPr>
      <w:r>
        <w:t xml:space="preserve">Is the student’s job to “fix Kankles” or to surface the dysfunction to leadership? Why? What does each approach signal about how the student sees their role?</w:t>
      </w:r>
    </w:p>
    <w:p>
      <w:pPr>
        <w:pStyle w:val="ListParagraph"/>
        <w:numPr>
          <w:ilvl w:val="0"/>
          <w:numId w:val="2"/>
        </w:numPr>
        <w:spacing w:after="80"/>
      </w:pPr>
      <w:r>
        <w:t xml:space="preserve">What is the difference between “manage up” and “go around your boss”? Where exactly is the line, and what triggers crossing it?</w:t>
      </w:r>
    </w:p>
    <w:p>
      <w:pPr>
        <w:pStyle w:val="ListParagraph"/>
        <w:numPr>
          <w:ilvl w:val="0"/>
          <w:numId w:val="2"/>
        </w:numPr>
        <w:spacing w:after="80"/>
      </w:pPr>
      <w:r>
        <w:t xml:space="preserve">Why does framing the promotion ask as “I need authority to do the job” land differently with Goliath than “I need a raise”? What is the principle?</w:t>
      </w:r>
    </w:p>
    <w:p>
      <w:pPr>
        <w:pStyle w:val="ListParagraph"/>
        <w:numPr>
          <w:ilvl w:val="0"/>
          <w:numId w:val="2"/>
        </w:numPr>
        <w:spacing w:after="80"/>
      </w:pPr>
      <w:r>
        <w:t xml:space="preserve">If you have a peer (Jerome) who is competent but does not want responsibility, how do you partner with them without making them feel pulled into something they have explicitly opted out of? What can you reasonably ask of him?</w:t>
      </w:r>
    </w:p>
    <w:p>
      <w:pPr>
        <w:pStyle w:val="ListParagraph"/>
        <w:numPr>
          <w:ilvl w:val="0"/>
          <w:numId w:val="2"/>
        </w:numPr>
        <w:spacing w:after="80"/>
      </w:pPr>
      <w:r>
        <w:t xml:space="preserve">At what point would you start interviewing elsewhere? What would have to be true — and what would have to NOT be true — for you to leave Acme?</w:t>
      </w:r>
    </w:p>
    <w:p>
      <w:pPr>
        <w:pStyle w:val="Heading2"/>
        <w:spacing w:after="120" w:before="280"/>
      </w:pPr>
      <w:r>
        <w:rPr>
          <w:b/>
          <w:bCs/>
          <w:color w:val="1E2761"/>
        </w:rPr>
        <w:t xml:space="preserve">Facilitator Notes</w:t>
      </w:r>
    </w:p>
    <w:p>
      <w:pPr>
        <w:spacing w:after="120" w:before="0"/>
      </w:pPr>
      <w:r>
        <w:t xml:space="preserve">Scenario 6 tests something different from the followership scenarios in the main book: managing up and laterally without formal authority, in a civilian context. The win is bluntly stated — get Kankles fired so the headcount can be backfilled — but the educational point is HOW the student gets there. Real organizations terminate poorly-performing tenured employees through documented processes (typically a competency-focused PIP that the employee will predictably fail), and the student’s job is to build the case that lets the manager start that process, not to be the manager themselves. The student’s instinct will be to “deal with Kankles” directly because Goliath has implicitly delegated it. That is the trap. The right move is to surface the pattern with documentation, frame the headcount as a structural waste, and let Goliath act through HR. The Wednesday meeting mechanism is the cleanest example of dysfunction the student should NOT personally enforce — the win is to convert it into a process problem with a process fix. Reference Edmondson’s Teaming and Heen’s Thanks for the Feedback for the peer-dynamics-under-ambiguous-authority frame. Common student mistakes to push on in debrief: (a) trying to fire Kankles personally as if peer-to-peer authority existed, (b) asking for the promotion in terms of money rather than authority, (c) bypassing Goliath to senior leadership, (d) absorbing the work indefinitely while waiting for the promotion to magically arrive, (e) treating the PIP step as the goal rather than the documented prelude to termination.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8"/>
        <w:szCs w:val="18"/>
      </w:rPr>
      <w:t xml:space="preserve">v1.0</w:t>
    </w:r>
    <w:r>
      <w:rPr>
        <w:color w:val="475569"/>
        <w:sz w:val="18"/>
        <w:szCs w:val="18"/>
      </w:rPr>
      <w:t xml:space="preserve">	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4"/>
      </w:pBdr>
      <w:tabs>
        <w:tab w:val="right" w:pos="9360"/>
      </w:tabs>
    </w:pPr>
    <w:r>
      <w:rPr>
        <w:color w:val="475569"/>
        <w:sz w:val="18"/>
        <w:szCs w:val="18"/>
      </w:rPr>
      <w:t xml:space="preserve">Scenario 6 — The Promotion Dangle</w:t>
    </w:r>
    <w:r>
      <w:rPr>
        <w:i/>
        <w:iCs/>
        <w:color w:val="475569"/>
        <w:sz w:val="18"/>
        <w:szCs w:val="18"/>
      </w:rPr>
      <w:t xml:space="preserve">	Civilian Variant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E2761"/>
      <w:sz w:val="36"/>
      <w:szCs w:val="36"/>
    </w:rPr>
  </w:style>
  <w:style w:type="paragraph" w:styleId="Heading2">
    <w:name w:val="Heading 2"/>
    <w:basedOn w:val="Normal"/>
    <w:next w:val="Normal"/>
    <w:qFormat/>
    <w:pPr>
      <w:spacing w:after="120" w:before="280"/>
      <w:outlineLvl w:val="1"/>
    </w:pPr>
    <w:rPr>
      <w:rFonts w:ascii="Cambria" w:cs="Cambria" w:eastAsia="Cambria" w:hAnsi="Cambria"/>
      <w:b/>
      <w:bCs/>
      <w:color w:val="1E2761"/>
      <w:sz w:val="28"/>
      <w:szCs w:val="28"/>
    </w:rPr>
  </w:style>
  <w:style w:type="paragraph" w:styleId="Heading3">
    <w:name w:val="Heading 3"/>
    <w:basedOn w:val="Normal"/>
    <w:next w:val="Normal"/>
    <w:qFormat/>
    <w:pPr>
      <w:spacing w:after="80" w:before="220"/>
      <w:outlineLvl w:val="2"/>
    </w:pPr>
    <w:rPr>
      <w:rFonts w:ascii="Cambria" w:cs="Cambria" w:eastAsia="Cambria" w:hAnsi="Cambria"/>
      <w:b/>
      <w:bCs/>
      <w:color w:val="B850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6 — The Promotion Dangle</dc:title>
  <dc:creator>Course Development</dc:creator>
  <dc:description>Civilian/private-sector variant for the Ethical Decision-Making Simulator</dc:description>
  <cp:lastModifiedBy>Un-named</cp:lastModifiedBy>
  <cp:revision>1</cp:revision>
  <dcterms:created xsi:type="dcterms:W3CDTF">2026-04-28T17:15:07.415Z</dcterms:created>
  <dcterms:modified xsi:type="dcterms:W3CDTF">2026-04-28T17:15:07.415Z</dcterms:modified>
</cp:coreProperties>
</file>

<file path=docProps/custom.xml><?xml version="1.0" encoding="utf-8"?>
<Properties xmlns="http://schemas.openxmlformats.org/officeDocument/2006/custom-properties" xmlns:vt="http://schemas.openxmlformats.org/officeDocument/2006/docPropsVTypes"/>
</file>