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40"/>
          <w:szCs w:val="40"/>
          <w:rFonts w:ascii="Arial" w:cs="Arial" w:eastAsia="Arial" w:hAnsi="Arial"/>
        </w:rPr>
        <w:t xml:space="preserve">Lesson 1 — Leading Up</w:t>
      </w:r>
    </w:p>
    <w:p>
      <w:pPr>
        <w:spacing w:after="240"/>
        <w:jc w:val="center"/>
      </w:pPr>
      <w:r>
        <w:rPr>
          <w:i/>
          <w:iCs/>
          <w:color w:val="4F5B6E"/>
          <w:sz w:val="24"/>
          <w:szCs w:val="24"/>
        </w:rPr>
        <w:t xml:space="preserve">Morally Courageous Followership — Grading Rubric</w:t>
      </w:r>
    </w:p>
    <w:p>
      <w:pPr>
        <w:pStyle w:val="Heading1"/>
      </w:pPr>
      <w:r>
        <w:t xml:space="preserve">Lesson overview</w:t>
      </w:r>
    </w:p>
    <w:p>
      <w:r>
        <w:t xml:space="preserve">In this scenario the student, serving as a battalion S-3 (MAJ), privately disagrees with the brigade commander's (COL) decision to execute a live-fire iteration at Range 12. Known constraints include a compressed medevac window, a questionable ammunition forecast, and an observer-controller team that is not yet qualified at the required level.</w:t>
      </w:r>
    </w:p>
    <w:p>
      <w:r>
        <w:t xml:space="preserve">The student will converse with the brigade commander persona, attempt to raise the concern through a principled dissent, and then submit a short reflection paper summarizing the interaction and what they learned.</w:t>
      </w:r>
    </w:p>
    <w:p>
      <w:r>
        <w:t xml:space="preserve">This rubric scores both the AI-persona conversation transcript(s) and the submitted reflection paper as a single product. Graders should read all transcripts the student opened for this lesson, not only the most recent one.</w:t>
      </w:r>
    </w:p>
    <w:p>
      <w:pPr>
        <w:pStyle w:val="Heading1"/>
      </w:pPr>
      <w:r>
        <w:t xml:space="preserve">Learning objectives assessed</w:t>
      </w:r>
    </w:p>
    <w:p>
      <w:pPr>
        <w:pStyle w:val="ListParagraph"/>
        <w:numPr>
          <w:ilvl w:val="0"/>
          <w:numId w:val="2"/>
        </w:numPr>
      </w:pPr>
      <w:r>
        <w:t xml:space="preserve">Frame a principled objection to a superior in mission, risk, and doctrinal terms.</w:t>
      </w:r>
    </w:p>
    <w:p>
      <w:pPr>
        <w:pStyle w:val="ListParagraph"/>
        <w:numPr>
          <w:ilvl w:val="0"/>
          <w:numId w:val="2"/>
        </w:numPr>
      </w:pPr>
      <w:r>
        <w:t xml:space="preserve">Separate the message from the messenger — disagree with the plan, not the commander.</w:t>
      </w:r>
    </w:p>
    <w:p>
      <w:pPr>
        <w:pStyle w:val="ListParagraph"/>
        <w:numPr>
          <w:ilvl w:val="0"/>
          <w:numId w:val="2"/>
        </w:numPr>
      </w:pPr>
      <w:r>
        <w:t xml:space="preserve">Distinguish between an unwise order and an unethical or illegal one.</w:t>
      </w:r>
    </w:p>
    <w:p>
      <w:pPr>
        <w:pStyle w:val="ListParagraph"/>
        <w:numPr>
          <w:ilvl w:val="0"/>
          <w:numId w:val="2"/>
        </w:numPr>
      </w:pPr>
      <w:r>
        <w:t xml:space="preserve">Choose the right timing and forum for dissent, and support the final decision once made.</w:t>
      </w:r>
    </w:p>
    <w:p>
      <w:pPr>
        <w:pStyle w:val="Heading1"/>
      </w:pPr>
      <w:r>
        <w:t xml:space="preserve">Scoring matrix</w:t>
      </w:r>
    </w:p>
    <w:p>
      <w:r>
        <w:t xml:space="preserve">Each criterion is scored 0–5. Partial credit within a band is at the instructor's discretion.</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1280"/>
        <w:gridCol w:w="1480"/>
      </w:tblGrid>
      <w:tr>
        <w:trPr>
          <w:tblHeader/>
        </w:trPr>
        <w:tc>
          <w:tcPr>
            <w:tcW w:type="dxa" w:w="260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Criterion</w:t>
            </w:r>
          </w:p>
        </w:tc>
        <w:tc>
          <w:tcPr>
            <w:tcW w:type="dxa" w:w="240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5 — Exceeds</w:t>
            </w:r>
          </w:p>
        </w:tc>
        <w:tc>
          <w:tcPr>
            <w:tcW w:type="dxa" w:w="160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3–4 — Meets</w:t>
            </w:r>
          </w:p>
        </w:tc>
        <w:tc>
          <w:tcPr>
            <w:tcW w:type="dxa" w:w="128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1–2 — Developing</w:t>
            </w:r>
          </w:p>
        </w:tc>
        <w:tc>
          <w:tcPr>
            <w:tcW w:type="dxa" w:w="148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0 — Unsatisfactory</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Framing the Objection</w:t>
            </w:r>
          </w:p>
          <w:p>
            <w:r>
              <w:rPr>
                <w:sz w:val="20"/>
                <w:szCs w:val="20"/>
              </w:rPr>
              <w:t xml:space="preserve">Uses mission, risk, doctrine, or ethics framing rather than personal preference or emotion.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Opens with a clear, mission-anchored problem statement. Names the specific risk (safety, legal, ethical, or operational) and ties it to doctrine, regulation, or the commander's intent.</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Frames the concern around mission or risk but mixes in some personal framing. Reference to doctrine or intent is implied rather than stated.</w:t>
            </w:r>
          </w:p>
        </w:tc>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Frames the concern mostly in personal terms ("I don't like it," "I'm worried") without anchoring to mission, risk, or intent.</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Does not attempt a principled framing; vents, complains, or stays silent.</w:t>
            </w:r>
          </w:p>
        </w:tc>
      </w:tr>
      <w:tr>
        <w:tc>
          <w:tcPr>
            <w:tcW w:type="dxa" w:w="2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2. Evidence &amp; Specificity</w:t>
            </w:r>
          </w:p>
          <w:p>
            <w:r>
              <w:rPr>
                <w:sz w:val="20"/>
                <w:szCs w:val="20"/>
              </w:rPr>
              <w:t xml:space="preserve">Backs the concern with concrete, checkable facts from the scenario (medevac status, ammunition, weather, training status, etc.).</w:t>
            </w:r>
          </w:p>
        </w:tc>
        <w:tc>
          <w:tcPr>
            <w:tcW w:type="dxa" w:w="24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Cites at least two specific, accurate facts (Range 12 medevac window, ammo forecast, unit NCOIC qualification, weather call, etc.) and ties each fact to the identified risk.</w:t>
            </w:r>
          </w:p>
        </w:tc>
        <w:tc>
          <w:tcPr>
            <w:tcW w:type="dxa" w:w="1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Cites one specific fact or several general facts. Evidence supports the concern but is thin or partially inaccurate.</w:t>
            </w:r>
          </w:p>
        </w:tc>
        <w:tc>
          <w:tcPr>
            <w:tcW w:type="dxa" w:w="12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Gestures at "concerns" without specifics, or repeats scenario talking points without tying them to risk.</w:t>
            </w:r>
          </w:p>
        </w:tc>
        <w:tc>
          <w:tcPr>
            <w:tcW w:type="dxa" w:w="14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No evidence offered; argument is pure assertion.</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3. Alternative Course of Action</w:t>
            </w:r>
          </w:p>
          <w:p>
            <w:r>
              <w:rPr>
                <w:sz w:val="20"/>
                <w:szCs w:val="20"/>
              </w:rPr>
              <w:t xml:space="preserve">Offers a workable alternative or mitigation, not just an objection.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Proposes a concrete alternative (delay, modified range, dry-fire iteration, additional medevac asset, risk acceptance at lower echelon) that preserves the commander's training objective where possible.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Offers an alternative that is sound but underdeveloped, OR offers a reasonable mitigation without a clear recommendation.</w:t>
            </w:r>
          </w:p>
        </w:tc>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Vague "we should do something else" without substance.</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Only objection, no alternative.</w:t>
            </w:r>
          </w:p>
        </w:tc>
      </w:tr>
      <w:tr>
        <w:tc>
          <w:tcPr>
            <w:tcW w:type="dxa" w:w="2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4. Professional Tone &amp; Respect for Authority</w:t>
            </w:r>
          </w:p>
          <w:p>
            <w:r>
              <w:rPr>
                <w:sz w:val="20"/>
                <w:szCs w:val="20"/>
              </w:rPr>
              <w:t xml:space="preserve">Maintains deference to the commander's authority while still delivering the hard message.</w:t>
            </w:r>
          </w:p>
        </w:tc>
        <w:tc>
          <w:tcPr>
            <w:tcW w:type="dxa" w:w="24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Tone is respectful, composed, and direct. Uses appropriate address ("Sir," "Ma'am," "Colonel"). Disagrees with the plan without attacking the person. Acknowledges the commander's final authority.</w:t>
            </w:r>
          </w:p>
        </w:tc>
        <w:tc>
          <w:tcPr>
            <w:tcW w:type="dxa" w:w="1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Tone is mostly professional; one or two moments of drift into frustration, sarcasm, or over-familiarity.</w:t>
            </w:r>
          </w:p>
        </w:tc>
        <w:tc>
          <w:tcPr>
            <w:tcW w:type="dxa" w:w="12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Tone is adversarial, preachy, or subordinate-coded-as-peer. Critiques the commander personally instead of the plan.</w:t>
            </w:r>
          </w:p>
        </w:tc>
        <w:tc>
          <w:tcPr>
            <w:tcW w:type="dxa" w:w="14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Insubordinate, disrespectful, or conversely so deferential that the message is lost.</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5. Ownership &amp; Follow-Through</w:t>
            </w:r>
          </w:p>
          <w:p>
            <w:r>
              <w:rPr>
                <w:sz w:val="20"/>
                <w:szCs w:val="20"/>
              </w:rPr>
              <w:t xml:space="preserve">Commits to supporting the commander's final decision — including one the student disagreed with — and accepts responsibility for execution.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Explicitly states that once the commander decides, the staff will execute fully. Offers to carry the risk assessment forward in writing, brief the BN CDR, or bring it up again at the appropriate echelon if new information emerges.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Acknowledges the commander's authority but is vague on how the staff will execute or follow up.</w:t>
            </w:r>
          </w:p>
        </w:tc>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Hints at resistance, slow-rolling, or end-runs ("I'll take it to the IG" as a first move). Misses that dissent ends when the decision is made.</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Refuses the order without exhausting the proper channels, or quits.</w:t>
            </w:r>
          </w:p>
        </w:tc>
      </w:tr>
      <w:tr>
        <w:tc>
          <w:tcPr>
            <w:tcW w:type="dxa" w:w="2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6. Reflection Paper — Accuracy &amp; Insight</w:t>
            </w:r>
          </w:p>
          <w:p>
            <w:r>
              <w:rPr>
                <w:sz w:val="20"/>
                <w:szCs w:val="20"/>
              </w:rPr>
              <w:t xml:space="preserve">The submitted summary paper accurately recounts the scenario and draws a useful lesson for future leader-follower interactions.</w:t>
            </w:r>
          </w:p>
        </w:tc>
        <w:tc>
          <w:tcPr>
            <w:tcW w:type="dxa" w:w="24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Reflection is honest about what worked and what did not. Identifies at least one specific thing the student would do differently. Connects the interaction to a broader followership principle (e.g., loyal dissent, moral courage, the difference between illegal and unwise orders).</w:t>
            </w:r>
          </w:p>
        </w:tc>
        <w:tc>
          <w:tcPr>
            <w:tcW w:type="dxa" w:w="160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Reflection is solid but largely descriptive. Lesson drawn is generic ("communication is important").</w:t>
            </w:r>
          </w:p>
        </w:tc>
        <w:tc>
          <w:tcPr>
            <w:tcW w:type="dxa" w:w="12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Reflection is thin, inaccurate about the conversation, or avoids self-assessment.</w:t>
            </w:r>
          </w:p>
        </w:tc>
        <w:tc>
          <w:tcPr>
            <w:tcW w:type="dxa" w:w="148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r>
              <w:rPr>
                <w:sz w:val="20"/>
                <w:szCs w:val="20"/>
              </w:rPr>
              <w:t xml:space="preserve">No paper submitted, or paper is off-topic.</w:t>
            </w:r>
          </w:p>
        </w:tc>
      </w:tr>
    </w:tbl>
    <w:p>
      <w:pPr>
        <w:spacing w:after="120"/>
      </w:pPr>
      <w:r/>
    </w:p>
    <w:p>
      <w:pPr>
        <w:pStyle w:val="Heading1"/>
      </w:pPr>
      <w:r>
        <w:t xml:space="preserve">Score summary</w:t>
      </w:r>
    </w:p>
    <w:p>
      <w:r>
        <w:t xml:space="preserve">Total possible: 30 points. Passing standard: 21/30 (70%).</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1560"/>
        <w:gridCol w:w="1560"/>
      </w:tblGrid>
      <w:tr>
        <w:trPr>
          <w:tblHeader/>
        </w:trPr>
        <w:tc>
          <w:tcPr>
            <w:tcW w:type="dxa" w:w="624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Criterion</w:t>
            </w:r>
          </w:p>
        </w:tc>
        <w:tc>
          <w:tcPr>
            <w:tcW w:type="dxa" w:w="156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Possible</w:t>
            </w:r>
          </w:p>
        </w:tc>
        <w:tc>
          <w:tcPr>
            <w:tcW w:type="dxa" w:w="1560"/>
            <w:tcBorders>
              <w:top w:val="single" w:color="BFBFBF" w:sz="6"/>
              <w:left w:val="single" w:color="BFBFBF" w:sz="6"/>
              <w:bottom w:val="single" w:color="BFBFBF" w:sz="6"/>
              <w:right w:val="single" w:color="BFBFBF" w:sz="6"/>
            </w:tcBorders>
            <w:shd w:fill="1F3A5F" w:val="clear"/>
            <w:tcMar>
              <w:top w:type="dxa" w:w="100"/>
              <w:left w:type="dxa" w:w="120"/>
              <w:bottom w:type="dxa" w:w="100"/>
              <w:right w:type="dxa" w:w="120"/>
            </w:tcMar>
          </w:tcPr>
          <w:p>
            <w:pPr>
              <w:jc w:val="center"/>
            </w:pPr>
            <w:r>
              <w:rPr>
                <w:b/>
                <w:bCs/>
                <w:color w:val="FFFFFF"/>
                <w:sz w:val="20"/>
                <w:szCs w:val="20"/>
              </w:rPr>
              <w:t xml:space="preserve">Awarded</w:t>
            </w:r>
          </w:p>
        </w:tc>
      </w:tr>
      <w:tr>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 Framing the Objection</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left"/>
            </w:pPr>
            <w:r>
              <w:rPr>
                <w:b w:val="false"/>
                <w:bCs w:val="false"/>
                <w:sz w:val="20"/>
                <w:szCs w:val="20"/>
              </w:rPr>
              <w:t xml:space="preserve">2. Evidence &amp; Specificity</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 Alternative Course of Action</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left"/>
            </w:pPr>
            <w:r>
              <w:rPr>
                <w:b w:val="false"/>
                <w:bCs w:val="false"/>
                <w:sz w:val="20"/>
                <w:szCs w:val="20"/>
              </w:rPr>
              <w:t xml:space="preserve">4. Professional Tone &amp; Respect for Authority</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5. Ownership &amp; Follow-Through</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left"/>
            </w:pPr>
            <w:r>
              <w:rPr>
                <w:b w:val="false"/>
                <w:bCs w:val="false"/>
                <w:sz w:val="20"/>
                <w:szCs w:val="20"/>
              </w:rPr>
              <w:t xml:space="preserve">6. Reflection Paper — Accuracy &amp; Insight</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5</w:t>
            </w:r>
          </w:p>
        </w:tc>
        <w:tc>
          <w:tcPr>
            <w:tcW w:type="dxa" w:w="1560"/>
            <w:tcBorders>
              <w:top w:val="single" w:color="BFBFBF" w:sz="6"/>
              <w:left w:val="single" w:color="BFBFBF" w:sz="6"/>
              <w:bottom w:val="single" w:color="BFBFBF" w:sz="6"/>
              <w:right w:val="single" w:color="BFBFBF" w:sz="6"/>
            </w:tcBorders>
            <w:shd w:fill="F4F6FA" w:val="clear"/>
            <w:tcMar>
              <w:top w:type="dxa" w:w="80"/>
              <w:left w:type="dxa" w:w="120"/>
              <w:bottom w:type="dxa" w:w="80"/>
              <w:right w:type="dxa" w:w="120"/>
            </w:tcMar>
          </w:tcPr>
          <w:p>
            <w:pPr>
              <w:jc w:val="center"/>
            </w:pPr>
            <w:r>
              <w:rPr>
                <w:b w:val="false"/>
                <w:bCs w:val="false"/>
                <w:sz w:val="20"/>
                <w:szCs w:val="20"/>
              </w:rPr>
              <w:t xml:space="preserve"> </w:t>
            </w:r>
          </w:p>
        </w:tc>
      </w:tr>
      <w:tr>
        <w:tc>
          <w:tcPr>
            <w:tcW w:type="dxa" w:w="6240"/>
            <w:tcBorders>
              <w:top w:val="single" w:color="BFBFBF" w:sz="6"/>
              <w:left w:val="single" w:color="BFBFBF" w:sz="6"/>
              <w:bottom w:val="single" w:color="BFBFBF" w:sz="6"/>
              <w:right w:val="single" w:color="BFBFBF" w:sz="6"/>
            </w:tcBorders>
            <w:shd w:fill="E8EEF7" w:val="clear"/>
            <w:tcMar>
              <w:top w:type="dxa" w:w="80"/>
              <w:left w:type="dxa" w:w="120"/>
              <w:bottom w:type="dxa" w:w="80"/>
              <w:right w:type="dxa" w:w="120"/>
            </w:tcMar>
          </w:tcPr>
          <w:p>
            <w:pPr>
              <w:jc w:val="left"/>
            </w:pPr>
            <w:r>
              <w:rPr>
                <w:b/>
                <w:bCs/>
                <w:sz w:val="20"/>
                <w:szCs w:val="20"/>
              </w:rPr>
              <w:t xml:space="preserve">TOTAL</w:t>
            </w:r>
          </w:p>
        </w:tc>
        <w:tc>
          <w:tcPr>
            <w:tcW w:type="dxa" w:w="1560"/>
            <w:tcBorders>
              <w:top w:val="single" w:color="BFBFBF" w:sz="6"/>
              <w:left w:val="single" w:color="BFBFBF" w:sz="6"/>
              <w:bottom w:val="single" w:color="BFBFBF" w:sz="6"/>
              <w:right w:val="single" w:color="BFBFBF" w:sz="6"/>
            </w:tcBorders>
            <w:shd w:fill="E8EEF7" w:val="clear"/>
            <w:tcMar>
              <w:top w:type="dxa" w:w="80"/>
              <w:left w:type="dxa" w:w="120"/>
              <w:bottom w:type="dxa" w:w="80"/>
              <w:right w:type="dxa" w:w="120"/>
            </w:tcMar>
          </w:tcPr>
          <w:p>
            <w:pPr>
              <w:jc w:val="center"/>
            </w:pPr>
            <w:r>
              <w:rPr>
                <w:b/>
                <w:bCs/>
                <w:sz w:val="20"/>
                <w:szCs w:val="20"/>
              </w:rPr>
              <w:t xml:space="preserve">30</w:t>
            </w:r>
          </w:p>
        </w:tc>
        <w:tc>
          <w:tcPr>
            <w:tcW w:type="dxa" w:w="1560"/>
            <w:tcBorders>
              <w:top w:val="single" w:color="BFBFBF" w:sz="6"/>
              <w:left w:val="single" w:color="BFBFBF" w:sz="6"/>
              <w:bottom w:val="single" w:color="BFBFBF" w:sz="6"/>
              <w:right w:val="single" w:color="BFBFBF" w:sz="6"/>
            </w:tcBorders>
            <w:shd w:fill="E8EEF7" w:val="clear"/>
            <w:tcMar>
              <w:top w:type="dxa" w:w="80"/>
              <w:left w:type="dxa" w:w="120"/>
              <w:bottom w:type="dxa" w:w="80"/>
              <w:right w:type="dxa" w:w="120"/>
            </w:tcMar>
          </w:tcPr>
          <w:p>
            <w:pPr>
              <w:jc w:val="center"/>
            </w:pPr>
            <w:r>
              <w:rPr>
                <w:b/>
                <w:bCs/>
                <w:sz w:val="20"/>
                <w:szCs w:val="20"/>
              </w:rPr>
              <w:t xml:space="preserve"> </w:t>
            </w:r>
          </w:p>
        </w:tc>
      </w:tr>
    </w:tbl>
    <w:p>
      <w:pPr>
        <w:spacing w:after="160"/>
      </w:pPr>
      <w:r/>
    </w:p>
    <w:p>
      <w:pPr>
        <w:pStyle w:val="Heading1"/>
      </w:pPr>
      <w:r>
        <w:t xml:space="preserve">Notes for graders</w:t>
      </w:r>
    </w:p>
    <w:p>
      <w:pPr>
        <w:pStyle w:val="ListParagraph"/>
        <w:numPr>
          <w:ilvl w:val="0"/>
          <w:numId w:val="2"/>
        </w:numPr>
      </w:pPr>
      <w:r>
        <w:t xml:space="preserve">Students who never raise the concern at all should not score above a 2 on any criterion in the conversation half of the rubric, regardless of how polished the reflection paper is.</w:t>
      </w:r>
    </w:p>
    <w:p>
      <w:pPr>
        <w:pStyle w:val="ListParagraph"/>
        <w:numPr>
          <w:ilvl w:val="0"/>
          <w:numId w:val="2"/>
        </w:numPr>
      </w:pPr>
      <w:r>
        <w:t xml:space="preserve">Students who escalate to the IG, chain-of-command end-runs, or the press as their first move should not score above a 2 on Criterion 5 (Ownership &amp; Follow-Through). Emphasize that proper dissent respects the sequence: raise, recommend, then execute.</w:t>
      </w:r>
    </w:p>
    <w:p>
      <w:pPr>
        <w:pStyle w:val="ListParagraph"/>
        <w:numPr>
          <w:ilvl w:val="0"/>
          <w:numId w:val="2"/>
        </w:numPr>
      </w:pPr>
      <w:r>
        <w:t xml:space="preserve">A student who recommends refusing the order should only score well if they correctly identify that the order crosses an ethical or legal line — this scenario is unwise, not unlawful. If they treat it as unlawful, grade Criterion 1 and Criterion 6 accordingly.</w:t>
      </w:r>
    </w:p>
    <w:p>
      <w:pPr>
        <w:pStyle w:val="ListParagraph"/>
        <w:numPr>
          <w:ilvl w:val="0"/>
          <w:numId w:val="2"/>
        </w:numPr>
      </w:pPr>
      <w:r>
        <w:t xml:space="preserve">If the student attempted the scenario with multiple personas, grade against the strongest transcript and note substantive differences in the feedback comments.</w:t>
      </w:r>
    </w:p>
    <w:p>
      <w:pPr>
        <w:pStyle w:val="Heading1"/>
      </w:pPr>
      <w:r>
        <w:t xml:space="preserve">Instructor feedback (template)</w:t>
      </w:r>
    </w:p>
    <w:p>
      <w:pPr>
        <w:rPr>
          <w:b/>
          <w:bCs/>
        </w:rPr>
      </w:pPr>
      <w:r>
        <w:rPr>
          <w:b/>
          <w:bCs/>
        </w:rPr>
        <w:t xml:space="preserve">Overall comments:</w:t>
      </w:r>
    </w:p>
    <w:p>
      <w:r>
        <w:t xml:space="preserve"> </w:t>
      </w:r>
    </w:p>
    <w:p>
      <w:r>
        <w:t xml:space="preserve"> </w:t>
      </w:r>
    </w:p>
    <w:p>
      <w:r>
        <w:t xml:space="preserve"> </w:t>
      </w:r>
    </w:p>
    <w:p>
      <w:pPr>
        <w:rPr>
          <w:b/>
          <w:bCs/>
        </w:rPr>
      </w:pPr>
      <w:r>
        <w:rPr>
          <w:b/>
          <w:bCs/>
        </w:rPr>
        <w:t xml:space="preserve">One thing done well:</w:t>
      </w:r>
    </w:p>
    <w:p>
      <w:r>
        <w:t xml:space="preserve"> </w:t>
      </w:r>
    </w:p>
    <w:p>
      <w:pPr>
        <w:rPr>
          <w:b/>
          <w:bCs/>
        </w:rPr>
      </w:pPr>
      <w:r>
        <w:rPr>
          <w:b/>
          <w:bCs/>
        </w:rPr>
        <w:t xml:space="preserve">One thing to work on:</w:t>
      </w:r>
    </w:p>
    <w:p>
      <w:r>
        <w:t xml:space="preserve">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7B8B"/>
        <w:sz w:val="18"/>
        <w:szCs w:val="18"/>
      </w:rPr>
      <w:t xml:space="preserve">Lesson 1 Grading Rubric — Page </w:t>
    </w:r>
    <w:r>
      <w:rPr>
        <w:color w:val="6F7B8B"/>
        <w:sz w:val="18"/>
        <w:szCs w:val="18"/>
      </w:rPr>
      <w:fldChar w:fldCharType="begin"/>
      <w:instrText xml:space="preserve">PAGE</w:instrText>
      <w:fldChar w:fldCharType="separate"/>
      <w:fldChar w:fldCharType="end"/>
    </w:r>
    <w:r>
      <w:rPr>
        <w:color w:val="6F7B8B"/>
        <w:sz w:val="18"/>
        <w:szCs w:val="18"/>
      </w:rPr>
      <w:t xml:space="preserve"> of </w:t>
    </w:r>
    <w:r>
      <w:rPr>
        <w:color w:val="6F7B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b/>
        <w:bCs/>
        <w:color w:val="1F3A5F"/>
        <w:sz w:val="18"/>
        <w:szCs w:val="18"/>
      </w:rPr>
      <w:t xml:space="preserve">A731 — Leadership Simulator</w:t>
    </w:r>
    <w:r>
      <w:rPr>
        <w:color w:val="6F7B8B"/>
        <w:sz w:val="18"/>
        <w:szCs w:val="18"/>
      </w:rPr>
      <w:t xml:space="preserve">	CGSC, Fort Leavenworth</w:t>
    </w:r>
  </w:p>
  <w:p>
    <w:pPr>
      <w:pBdr>
        <w:bottom w:val="single" w:color="1F3A5F" w:sz="6" w:space="4"/>
      </w:pBdr>
    </w:pPr>
    <w:r>
      <w:rPr>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b/>
      <w:bCs/>
      <w:color w:val="1F3A5F"/>
      <w:sz w:val="32"/>
      <w:szCs w:val="32"/>
      <w:rFonts w:ascii="Arial" w:cs="Arial" w:eastAsia="Arial" w:hAnsi="Arial"/>
    </w:rPr>
  </w:style>
  <w:style w:type="paragraph" w:styleId="Heading2">
    <w:name w:val="Heading 2"/>
    <w:basedOn w:val="Normal"/>
    <w:next w:val="Normal"/>
    <w:qFormat/>
    <w:pPr>
      <w:spacing w:before="220" w:after="120"/>
      <w:outlineLvl w:val="1"/>
    </w:pPr>
    <w:rPr>
      <w:b/>
      <w:bCs/>
      <w:color w:val="1F3A5F"/>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A731 Lesson 1 Grading Rubric</dc:title>
  <dc:creator>A731 Course Director</dc:creator>
  <cp:lastModifiedBy>Un-named</cp:lastModifiedBy>
  <cp:revision>1</cp:revision>
  <dcterms:created xsi:type="dcterms:W3CDTF">2026-04-21T16:17:15.214Z</dcterms:created>
  <dcterms:modified xsi:type="dcterms:W3CDTF">2026-04-21T16:17:15.214Z</dcterms:modified>
</cp:coreProperties>
</file>

<file path=docProps/custom.xml><?xml version="1.0" encoding="utf-8"?>
<Properties xmlns="http://schemas.openxmlformats.org/officeDocument/2006/custom-properties" xmlns:vt="http://schemas.openxmlformats.org/officeDocument/2006/docPropsVTypes"/>
</file>