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The recommendation in this document is based on the discovery conversation below. Each row records the question asked, the closest governed answer, and the customer's own wording where captured. Rows marked "Confirmed with customer" were verified with the customer during discovery; rows marked "To be confirmed" are still open and must be verified before final design sign-off. Nothing here is presented as a settled fact that was not said during discovery.</w:t>
      </w:r>
    </w:p>
    <w:p>
      <w:pPr>
        <w:spacing w:after="160" w:line="320"/>
        <w:jc w:val="both"/>
      </w:pPr>
      <w:r>
        <w:rPr>
          <w:rFonts w:ascii="Calibri" w:cs="Calibri" w:eastAsia="Calibri" w:hAnsi="Calibri"/>
          <w:color w:val="5E7280"/>
          <w:sz w:val="18"/>
          <w:szCs w:val="18"/>
        </w:rPr>
        <w:t xml:space="preserve">The "Capture confidence" column shows how strongly the customer's wording matched the closest governed answer: "High confidence" is a strong exact match, "Matched" is a curated-phrase match, and "Low confidence — verify before quote" is a partial match that must be re-verified with the customer before quoting. The number in brackets is the match score behind the tier.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tblHeader/>
        </w:trPr>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Governed answer</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Capture confidence</w:t>
            </w:r>
          </w:p>
        </w:tc>
      </w:tr>
      <w:tr>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Where a row is a note-only capture, the answer was still open at the time of writing and must be confirmed before final design sign-off.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Requirement Understanding and Design Trace</w:t>
      </w:r>
    </w:p>
    <w:p>
      <w:pPr>
        <w:spacing w:after="160" w:line="320"/>
      </w:pPr>
      <w:r>
        <w:rPr>
          <w:rFonts w:ascii="Calibri" w:cs="Calibri" w:eastAsia="Calibri" w:hAnsi="Calibri"/>
          <w:color w:val="5E7280"/>
          <w:sz w:val="22"/>
          <w:szCs w:val="22"/>
        </w:rPr>
        <w:t xml:space="preserve">A canonical design revision has not been compiled for this legacy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the captured Discovery brief.</w:t>
      </w:r>
    </w:p>
    <w:p>
      <w:pPr>
        <w:pStyle w:val="ListParagraph"/>
        <w:numPr>
          <w:ilvl w:val="0"/>
          <w:numId w:val="2"/>
        </w:numPr>
        <w:spacing w:after="80" w:line="290"/>
      </w:pPr>
      <w:r>
        <w:rPr>
          <w:rFonts w:ascii="Calibri" w:cs="Calibri" w:eastAsia="Calibri" w:hAnsi="Calibri"/>
          <w:color w:val="172B3A"/>
          <w:sz w:val="22"/>
          <w:szCs w:val="22"/>
        </w:rPr>
        <w:t xml:space="preserve">Customer-safe explanation of the recommended system architecture.</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tblHeader/>
        </w:trPr>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4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tblHeader/>
        </w:trPr>
        <w:tc>
          <w:tcPr>
            <w:tcW w:type="dxa" w:w="3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Commercial status</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forms part of the complete AV solution. The following equipment and delivery disciplines must be designed, owned and commercially completed before customer issue. TBC cells are deliberately editable allowances, not included prices.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tblHeader/>
        </w:trPr>
        <w:tc>
          <w:tcPr>
            <w:tcW w:type="dxa" w:w="15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Price / allowance</w:t>
            </w:r>
          </w:p>
        </w:tc>
      </w:tr>
      <w:tr>
        <w:tc>
          <w:tcPr>
            <w:tcW w:type="dxa" w:w="15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Third-party scope</w:t>
            </w:r>
          </w:p>
        </w:tc>
        <w:tc>
          <w:tcPr>
            <w:tcW w:type="dxa" w:w="337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all non-WyreStorm equipment and delivery services.</w:t>
            </w:r>
          </w:p>
        </w:tc>
        <w:tc>
          <w:tcPr>
            <w:tcW w:type="dxa" w:w="8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209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customer</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System function</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Operator sources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encoders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10GbE network</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decoders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recommended system, derived from the native topology-aware schematic engine. Each row shows the transport type, maximum cable length, connector format, and validation status. 7 of 16 runs are confirmed from governed product data; 9 require site confirmation; 0 are not yet confirmed.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tblHeader/>
        </w:trPr>
        <w:tc>
          <w:tcPr>
            <w:tcW w:type="dxa" w:w="2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Validation reminder</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Control system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Control</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100m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DB-9 / IR /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control protocol (RS-232/IR/IP), baud rate, pinout, cable routing, and control processor compatibility.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Control system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Control</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100m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DB-9 / IR /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Define who operates the room and convert engineering routes into user-friendly presets.</w:t>
            </w:r>
          </w:p>
        </w:tc>
      </w:tr>
    </w:tbl>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budget below is derived from the governed technical profiles for each selected product. Figures are stated-maximum consumption per the published profile and must be verified against the current datasheet before order.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tblHeader/>
        </w:trPr>
        <w:tc>
          <w:tcPr>
            <w:tcW w:type="dxa" w:w="2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Power data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Dependency / output</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1-3</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room, cable routes, network, power and access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4-7</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Subject to stock and site readiness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8-10</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trades complete by-others scope</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11-12</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Validate routing, control, audio, USB and failover</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13-14</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2026-09-15T05:41:08.793Z</dcterms:created>
  <dcterms:modified xsi:type="dcterms:W3CDTF">2026-09-15T05:41:08.793Z</dcterms:modified>
</cp:coreProperties>
</file>

<file path=docProps/custom.xml><?xml version="1.0" encoding="utf-8"?>
<Properties xmlns="http://schemas.openxmlformats.org/officeDocument/2006/custom-properties" xmlns:vt="http://schemas.openxmlformats.org/officeDocument/2006/docPropsVTypes"/>
</file>