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Solution Overview</w:t>
      </w:r>
    </w:p>
    <w:p>
      <w:pPr>
        <w:spacing w:after="160" w:line="320"/>
        <w:jc w:val="both"/>
      </w:pPr>
      <w:r>
        <w:rPr>
          <w:rFonts w:ascii="Calibri" w:cs="Calibri" w:eastAsia="Calibri" w:hAnsi="Calibri"/>
          <w:color w:val="172B3A"/>
          <w:sz w:val="22"/>
          <w:szCs w:val="22"/>
        </w:rPr>
        <w:t xml:space="preserve">NetworkHD 600 resilient AV-over-IP fabric</w:t>
      </w:r>
    </w:p>
    <w:p>
      <w:pPr>
        <w:pStyle w:val="Heading2"/>
        <w:keepNext/>
        <w:spacing w:after="120" w:before="240"/>
      </w:pPr>
      <w:r>
        <w:rPr>
          <w:rFonts w:ascii="Calibri" w:cs="Calibri" w:eastAsia="Calibri" w:hAnsi="Calibri"/>
          <w:b/>
          <w:bCs/>
          <w:color w:val="08223A"/>
          <w:sz w:val="26"/>
          <w:szCs w:val="26"/>
        </w:rPr>
        <w:t xml:space="preserve">How the solution will work</w:t>
      </w:r>
    </w:p>
    <w:p>
      <w:pPr>
        <w:spacing w:after="160" w:line="320"/>
      </w:pPr>
      <w:r>
        <w:rPr>
          <w:rFonts w:ascii="Calibri" w:cs="Calibri" w:eastAsia="Calibri" w:hAnsi="Calibri"/>
          <w:color w:val="172B3A"/>
          <w:sz w:val="22"/>
          <w:szCs w:val="22"/>
        </w:rPr>
        <w:t xml:space="preserve">The proposed AV-over-IP system distributes content between the scheduled endpoints over a suitably designed network. This allows the agreed destinations to share sources, with any future expansion subject to endpoint compatibility, switch capacity and licensing requirements.</w:t>
      </w:r>
    </w:p>
    <w:p>
      <w:pPr>
        <w:pStyle w:val="Heading2"/>
        <w:keepNext/>
        <w:spacing w:after="120" w:before="240"/>
      </w:pPr>
      <w:r>
        <w:rPr>
          <w:rFonts w:ascii="Calibri" w:cs="Calibri" w:eastAsia="Calibri" w:hAnsi="Calibri"/>
          <w:b/>
          <w:bCs/>
          <w:color w:val="08223A"/>
          <w:sz w:val="26"/>
          <w:szCs w:val="26"/>
        </w:rPr>
        <w:t xml:space="preserve">What successful delivery looks like</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The recommendation in this document is based on the discovery conversation below. Each row records the question asked, the closest governed answer, and the customer's own wording where captured. Rows marked "Confirmed with customer" were verified with the customer during discovery; rows marked "To be confirmed" are still open and must be verified before final design sign-off. Nothing here is presented as a settled fact that was not said during discovery.</w:t>
      </w:r>
    </w:p>
    <w:p>
      <w:pPr>
        <w:spacing w:after="160" w:line="320"/>
        <w:jc w:val="both"/>
      </w:pPr>
      <w:r>
        <w:rPr>
          <w:rFonts w:ascii="Calibri" w:cs="Calibri" w:eastAsia="Calibri" w:hAnsi="Calibri"/>
          <w:color w:val="5E7280"/>
          <w:sz w:val="18"/>
          <w:szCs w:val="18"/>
        </w:rPr>
        <w:t xml:space="preserve">The "Capture confidence" column shows how strongly the customer's wording matched the closest governed answer: "High confidence" is a strong exact match, "Matched" is a curated-phrase match, and "Low confidence — verify before quote" is a partial match that must be re-verified with the customer before quoting. The number in brackets is the match score behind the tier.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tblHeader/>
        </w:trPr>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Governed answer</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Capture confidence</w:t>
            </w:r>
          </w:p>
        </w:tc>
      </w:tr>
      <w:tr>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Where a row is a note-only capture, the answer was still open at the time of writing and must be confirmed before final design sign-off.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Requirement Understanding and Design Trace</w:t>
      </w:r>
    </w:p>
    <w:p>
      <w:pPr>
        <w:spacing w:after="160" w:line="320"/>
      </w:pPr>
      <w:r>
        <w:rPr>
          <w:rFonts w:ascii="Calibri" w:cs="Calibri" w:eastAsia="Calibri" w:hAnsi="Calibri"/>
          <w:color w:val="5E7280"/>
          <w:sz w:val="22"/>
          <w:szCs w:val="22"/>
        </w:rPr>
        <w:t xml:space="preserve">A canonical design revision has not been compiled for this legacy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the captured Discovery brief.</w:t>
      </w:r>
    </w:p>
    <w:p>
      <w:pPr>
        <w:pStyle w:val="ListParagraph"/>
        <w:numPr>
          <w:ilvl w:val="0"/>
          <w:numId w:val="2"/>
        </w:numPr>
        <w:spacing w:after="80" w:line="290"/>
      </w:pPr>
      <w:r>
        <w:rPr>
          <w:rFonts w:ascii="Calibri" w:cs="Calibri" w:eastAsia="Calibri" w:hAnsi="Calibri"/>
          <w:color w:val="172B3A"/>
          <w:sz w:val="22"/>
          <w:szCs w:val="22"/>
        </w:rPr>
        <w:t xml:space="preserve">Customer-safe explanation of the recommended system architecture.</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tblHeader/>
        </w:trPr>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4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tblHeader/>
        </w:trPr>
        <w:tc>
          <w:tcPr>
            <w:tcW w:type="dxa" w:w="3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Commercial status</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Complete System Design and Responsibilities</w:t>
      </w:r>
    </w:p>
    <w:p>
      <w:pPr>
        <w:spacing w:after="160" w:line="320"/>
      </w:pPr>
      <w:r>
        <w:rPr>
          <w:rFonts w:ascii="Calibri" w:cs="Calibri" w:eastAsia="Calibri" w:hAnsi="Calibri"/>
          <w:color w:val="172B3A"/>
          <w:sz w:val="22"/>
          <w:szCs w:val="22"/>
        </w:rPr>
        <w:t xml:space="preserve">The following items complete the wider solution. Unfilled entries are open design decisions, not supplied equipment or agreed services. Replace each [complete] with the agreed detail or mark it not applicable / excluded.</w:t>
      </w:r>
    </w:p>
    <w:p>
      <w:pPr>
        <w:pStyle w:val="ListParagraph"/>
        <w:numPr>
          <w:ilvl w:val="0"/>
          <w:numId w:val="2"/>
        </w:numPr>
        <w:spacing w:after="80" w:line="290"/>
      </w:pPr>
      <w:r>
        <w:rPr>
          <w:rFonts w:ascii="Calibri" w:cs="Calibri" w:eastAsia="Calibri" w:hAnsi="Calibri"/>
          <w:color w:val="172B3A"/>
          <w:sz w:val="22"/>
          <w:szCs w:val="22"/>
        </w:rPr>
        <w:t xml:space="preserve">Displays / projection | Model, size, location and mounting: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Sources and conferencing | Source devices, meeting platform and USB host: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Audio | Microphones, loudspeakers, DSP and acoustic requirements: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Network | Switches, port capacity, PoE budget, VLANs and IT approval: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Control | User interface, named room modes and programming: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Site infrastructure | Cable routes / distances, rack, ventilation, power and containment: [complete] | Supplier / owner: [complete]</w:t>
      </w:r>
    </w:p>
    <w:p>
      <w:pPr>
        <w:pStyle w:val="ListParagraph"/>
        <w:numPr>
          <w:ilvl w:val="0"/>
          <w:numId w:val="2"/>
        </w:numPr>
        <w:spacing w:after="80" w:line="290"/>
      </w:pPr>
      <w:r>
        <w:rPr>
          <w:rFonts w:ascii="Calibri" w:cs="Calibri" w:eastAsia="Calibri" w:hAnsi="Calibri"/>
          <w:color w:val="172B3A"/>
          <w:sz w:val="22"/>
          <w:szCs w:val="22"/>
        </w:rPr>
        <w:t xml:space="preserve">Delivery and acceptance | Installation, training, support, acceptance tests and dates: [complete] | Supplier / owner: [complete]</w:t>
      </w:r>
    </w:p>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forms part of the complete AV solution. The following equipment and delivery disciplines must be designed, owned and commercially completed before customer issue. TBC cells are deliberately editable allowances, not included prices.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tblHeader/>
        </w:trPr>
        <w:tc>
          <w:tcPr>
            <w:tcW w:type="dxa" w:w="15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Price / allowance</w:t>
            </w:r>
          </w:p>
        </w:tc>
      </w:tr>
      <w:tr>
        <w:tc>
          <w:tcPr>
            <w:tcW w:type="dxa" w:w="15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Third-party scope</w:t>
            </w:r>
          </w:p>
        </w:tc>
        <w:tc>
          <w:tcPr>
            <w:tcW w:type="dxa" w:w="337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all non-WyreStorm equipment and delivery services.</w:t>
            </w:r>
          </w:p>
        </w:tc>
        <w:tc>
          <w:tcPr>
            <w:tcW w:type="dxa" w:w="8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209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customer</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p>
      <w:pPr>
        <w:spacing w:after="160" w:line="320"/>
      </w:pPr>
      <w:r>
        <w:rPr>
          <w:rFonts w:ascii="Calibri" w:cs="Calibri" w:eastAsia="Calibri" w:hAnsi="Calibri"/>
          <w:color w:val="5E7280"/>
          <w:sz w:val="22"/>
          <w:szCs w:val="22"/>
        </w:rPr>
        <w:t xml:space="preserve">Concept signal-flow diagram: confirm physical connections, cable routes, third-party interfaces and operating modes before installation.</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System function</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Operator sources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encoders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10GbE network</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decoders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recommended system, derived from the native topology-aware schematic engine. Each row shows the transport type, maximum cable length, connector format, and validation status. 0 of 14 runs are confirmed from governed product data; 14 require site confirmation; 0 are not yet confirmed.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tblHeader/>
        </w:trPr>
        <w:tc>
          <w:tcPr>
            <w:tcW w:type="dxa" w:w="2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Validation reminder</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Source 1 (confirm)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Source 2 (confirm)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AV LAN (confirm) to SWITCH PORT 1</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AV LAN (confirm) to SWITCH PORT 2</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3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4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5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SWITCH PORT 6 to AV LAN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AV LAN (confirm) to SWITCH PORT 7</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1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2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3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Display 4 (confirm)</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bl>
    <w:p>
      <w:pPr>
        <w:pStyle w:val="Heading1"/>
        <w:keepNext/>
        <w:spacing w:after="200" w:before="360"/>
      </w:pPr>
      <w:r>
        <w:rPr>
          <w:rFonts w:ascii="Calibri" w:cs="Calibri" w:eastAsia="Calibri" w:hAnsi="Calibri"/>
          <w:b/>
          <w:bCs/>
          <w:color w:val="2E74B5"/>
          <w:sz w:val="32"/>
          <w:szCs w:val="32"/>
        </w:rPr>
        <w:t xml:space="preserve">Products in the Solution</w:t>
      </w:r>
    </w:p>
    <w:p>
      <w:pPr>
        <w:pStyle w:val="Heading2"/>
        <w:keepNext/>
        <w:spacing w:after="120" w:before="240"/>
      </w:pPr>
      <w:r>
        <w:rPr>
          <w:rFonts w:ascii="Calibri" w:cs="Calibri" w:eastAsia="Calibri" w:hAnsi="Calibri"/>
          <w:b/>
          <w:bCs/>
          <w:color w:val="08223A"/>
          <w:sz w:val="26"/>
          <w:szCs w:val="26"/>
        </w:rPr>
        <w:t xml:space="preserve">NHD-600-TX — NetworkHD 600 encoder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Encode operator sources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NHD-600-RX — NetworkHD 600 decoder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Decode display feeds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NHD-CTL-PRO-V2 — NetworkHD controller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Routing control</w:t>
      </w:r>
    </w:p>
    <w:p>
      <w:pPr>
        <w:spacing w:after="160" w:line="320"/>
      </w:pPr>
      <w:r>
        <w:rPr>
          <w:rFonts w:ascii="Calibri" w:cs="Calibri" w:eastAsia="Calibri" w:hAnsi="Calibri"/>
          <w:color w:val="5E7280"/>
          <w:sz w:val="22"/>
          <w:szCs w:val="22"/>
        </w:rPr>
        <w:t xml:space="preserve">Official product link to be confirmed.</w:t>
      </w:r>
    </w:p>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budget below is derived from the governed technical profiles for each selected product. Figures are stated-maximum consumption per the published profile and must be verified against the current datasheet before order.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tblHeader/>
        </w:trPr>
        <w:tc>
          <w:tcPr>
            <w:tcW w:type="dxa" w:w="2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Power data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Dependency / output</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room, cable routes, network, power and access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Subject to stock and site readiness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trades complete by-others scope</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Validate agreed routing, control, audio and USB workflows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2026-10-06T08:03:04.258Z</dcterms:created>
  <dcterms:modified xsi:type="dcterms:W3CDTF">2026-10-06T08:03:04.258Z</dcterms:modified>
</cp:coreProperties>
</file>

<file path=docProps/custom.xml><?xml version="1.0" encoding="utf-8"?>
<Properties xmlns="http://schemas.openxmlformats.org/officeDocument/2006/custom-properties" xmlns:vt="http://schemas.openxmlformats.org/officeDocument/2006/docPropsVTypes"/>
</file>