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jc w:val="center"/>
      </w:pPr>
      <w:r>
        <w:rPr>
          <w:rFonts w:ascii="Calibri" w:cs="Calibri" w:eastAsia="Calibri" w:hAnsi="Calibri"/>
          <w:b/>
          <w:bCs/>
          <w:color w:val="16B8B0"/>
          <w:sz w:val="32"/>
          <w:szCs w:val="32"/>
        </w:rPr>
        <w:t xml:space="preserve">WyreStorm</w:t>
      </w:r>
    </w:p>
    <w:p>
      <w:pPr>
        <w:spacing w:after="520" w:line="320"/>
        <w:jc w:val="center"/>
      </w:pPr>
      <w:r>
        <w:rPr>
          <w:rFonts w:ascii="Calibri" w:cs="Calibri" w:eastAsia="Calibri" w:hAnsi="Calibri"/>
          <w:b/>
          <w:bCs/>
          <w:color w:val="5E7280"/>
          <w:sz w:val="20"/>
          <w:szCs w:val="20"/>
        </w:rPr>
        <w:t xml:space="preserve">BLENDED COMMERCIAL AND TECHNICAL PROPOSAL</w:t>
      </w:r>
    </w:p>
    <w:p>
      <w:pPr>
        <w:spacing w:after="200" w:line="320"/>
        <w:jc w:val="center"/>
      </w:pPr>
      <w:r>
        <w:rPr>
          <w:rFonts w:ascii="Calibri" w:cs="Calibri" w:eastAsia="Calibri" w:hAnsi="Calibri"/>
          <w:b/>
          <w:bCs/>
          <w:color w:val="08223A"/>
          <w:sz w:val="48"/>
          <w:szCs w:val="48"/>
        </w:rPr>
        <w:t xml:space="preserve">Northstar Operations Room</w:t>
      </w:r>
    </w:p>
    <w:p>
      <w:pPr>
        <w:spacing w:after="160" w:line="320"/>
        <w:jc w:val="center"/>
      </w:pPr>
      <w:r>
        <w:rPr>
          <w:rFonts w:ascii="Calibri" w:cs="Calibri" w:eastAsia="Calibri" w:hAnsi="Calibri"/>
          <w:color w:val="2E74B5"/>
          <w:sz w:val="26"/>
          <w:szCs w:val="26"/>
        </w:rPr>
        <w:t xml:space="preserve">Prepared for Northstar Council</w:t>
      </w:r>
    </w:p>
    <w:p>
      <w:pPr>
        <w:spacing w:after="160" w:line="320"/>
        <w:jc w:val="center"/>
      </w:pPr>
      <w:r>
        <w:rPr>
          <w:rFonts w:ascii="Calibri" w:cs="Calibri" w:eastAsia="Calibri" w:hAnsi="Calibri"/>
          <w:color w:val="5E7280"/>
          <w:sz w:val="18"/>
          <w:szCs w:val="18"/>
        </w:rPr>
        <w:t xml:space="preserve">Reference: WM-PARITY-001  |  Date: 2026-09-11  |  Prepared by: Solutions Team</w:t>
      </w:r>
    </w:p>
    <w:p>
      <w:r>
        <w:br w:type="page"/>
      </w:r>
    </w:p>
    <w:p>
      <w:pPr>
        <w:pStyle w:val="Heading1"/>
        <w:keepNext/>
        <w:spacing w:after="200" w:before="360"/>
      </w:pPr>
      <w:r>
        <w:rPr>
          <w:rFonts w:ascii="Calibri" w:cs="Calibri" w:eastAsia="Calibri" w:hAnsi="Calibri"/>
          <w:b/>
          <w:bCs/>
          <w:color w:val="2E74B5"/>
          <w:sz w:val="32"/>
          <w:szCs w:val="32"/>
        </w:rPr>
        <w:t xml:space="preserve">Executive Summary</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Market and Application Story</w:t>
      </w:r>
    </w:p>
    <w:p>
      <w:pPr>
        <w:spacing w:after="160" w:line="320"/>
        <w:jc w:val="both"/>
      </w:pPr>
      <w:r>
        <w:rPr>
          <w:rFonts w:ascii="Calibri" w:cs="Calibri" w:eastAsia="Calibri" w:hAnsi="Calibri"/>
          <w:color w:val="172B3A"/>
          <w:sz w:val="22"/>
          <w:szCs w:val="22"/>
        </w:rPr>
        <w:t xml:space="preserve">The room supports controlled, resilient operational decision-making.</w:t>
      </w:r>
    </w:p>
    <w:p>
      <w:pPr>
        <w:pStyle w:val="Heading2"/>
        <w:keepNext/>
        <w:spacing w:after="120" w:before="240"/>
      </w:pPr>
      <w:r>
        <w:rPr>
          <w:rFonts w:ascii="Calibri" w:cs="Calibri" w:eastAsia="Calibri" w:hAnsi="Calibri"/>
          <w:b/>
          <w:bCs/>
          <w:color w:val="08223A"/>
          <w:sz w:val="26"/>
          <w:szCs w:val="26"/>
        </w:rPr>
        <w:t xml:space="preserve">Intended room experience</w:t>
      </w:r>
    </w:p>
    <w:p>
      <w:pPr>
        <w:pStyle w:val="ListParagraph"/>
        <w:numPr>
          <w:ilvl w:val="0"/>
          <w:numId w:val="2"/>
        </w:numPr>
        <w:spacing w:after="80" w:line="290"/>
      </w:pPr>
      <w:r>
        <w:rPr>
          <w:rFonts w:ascii="Calibri" w:cs="Calibri" w:eastAsia="Calibri" w:hAnsi="Calibri"/>
          <w:color w:val="172B3A"/>
          <w:sz w:val="22"/>
          <w:szCs w:val="22"/>
        </w:rPr>
        <w:t xml:space="preserve">Operators select an approved source and route it to any display.</w:t>
      </w:r>
    </w:p>
    <w:p>
      <w:pPr>
        <w:pStyle w:val="Heading2"/>
        <w:keepNext/>
        <w:spacing w:after="120" w:before="240"/>
      </w:pPr>
      <w:r>
        <w:rPr>
          <w:rFonts w:ascii="Calibri" w:cs="Calibri" w:eastAsia="Calibri" w:hAnsi="Calibri"/>
          <w:b/>
          <w:bCs/>
          <w:color w:val="08223A"/>
          <w:sz w:val="26"/>
          <w:szCs w:val="26"/>
        </w:rPr>
        <w:t xml:space="preserve">Business outcomes</w:t>
      </w:r>
    </w:p>
    <w:p>
      <w:pPr>
        <w:pStyle w:val="ListParagraph"/>
        <w:numPr>
          <w:ilvl w:val="0"/>
          <w:numId w:val="2"/>
        </w:numPr>
        <w:spacing w:after="80" w:line="290"/>
      </w:pPr>
      <w:r>
        <w:rPr>
          <w:rFonts w:ascii="Calibri" w:cs="Calibri" w:eastAsia="Calibri" w:hAnsi="Calibri"/>
          <w:color w:val="172B3A"/>
          <w:sz w:val="22"/>
          <w:szCs w:val="22"/>
        </w:rPr>
        <w:t xml:space="preserve">Operational continuity: Operators retain controlled access to approved sources.</w:t>
      </w:r>
    </w:p>
    <w:p>
      <w:pPr>
        <w:pStyle w:val="Heading1"/>
        <w:keepNext/>
        <w:spacing w:after="200" w:before="360"/>
      </w:pPr>
      <w:r>
        <w:rPr>
          <w:rFonts w:ascii="Calibri" w:cs="Calibri" w:eastAsia="Calibri" w:hAnsi="Calibri"/>
          <w:b/>
          <w:bCs/>
          <w:color w:val="2E74B5"/>
          <w:sz w:val="32"/>
          <w:szCs w:val="32"/>
        </w:rPr>
        <w:t xml:space="preserve">Client Objectives and Current Challenge</w:t>
      </w:r>
    </w:p>
    <w:p>
      <w:pPr>
        <w:spacing w:after="160" w:line="320"/>
        <w:jc w:val="both"/>
      </w:pPr>
      <w:r>
        <w:rPr>
          <w:rFonts w:ascii="Calibri" w:cs="Calibri" w:eastAsia="Calibri" w:hAnsi="Calibri"/>
          <w:color w:val="172B3A"/>
          <w:sz w:val="22"/>
          <w:szCs w:val="22"/>
        </w:rPr>
        <w:t xml:space="preserve">Route two operator sources to four displays with resilient 4K distribution.</w:t>
      </w:r>
    </w:p>
    <w:p>
      <w:pPr>
        <w:pStyle w:val="Heading1"/>
        <w:keepNext/>
        <w:spacing w:after="200" w:before="360"/>
      </w:pPr>
      <w:r>
        <w:rPr>
          <w:rFonts w:ascii="Calibri" w:cs="Calibri" w:eastAsia="Calibri" w:hAnsi="Calibri"/>
          <w:b/>
          <w:bCs/>
          <w:color w:val="2E74B5"/>
          <w:sz w:val="32"/>
          <w:szCs w:val="32"/>
        </w:rPr>
        <w:t xml:space="preserve">Discovery Conversation</w:t>
      </w:r>
    </w:p>
    <w:p>
      <w:pPr>
        <w:spacing w:after="160" w:line="320"/>
        <w:jc w:val="both"/>
      </w:pPr>
      <w:r>
        <w:rPr>
          <w:rFonts w:ascii="Calibri" w:cs="Calibri" w:eastAsia="Calibri" w:hAnsi="Calibri"/>
          <w:color w:val="172B3A"/>
          <w:sz w:val="22"/>
          <w:szCs w:val="22"/>
        </w:rPr>
        <w:t xml:space="preserve">The recommendation in this document is based on the discovery conversation below. Each row records the question asked, the closest governed answer, and the customer's own wording where captured. Rows marked "Confirmed with customer" were verified with the customer during discovery; rows marked "To be confirmed" are still open and must be verified before final design sign-off. Nothing here is presented as a settled fact that was not said during discovery.</w:t>
      </w:r>
    </w:p>
    <w:p>
      <w:pPr>
        <w:spacing w:after="160" w:line="320"/>
        <w:jc w:val="both"/>
      </w:pPr>
      <w:r>
        <w:rPr>
          <w:rFonts w:ascii="Calibri" w:cs="Calibri" w:eastAsia="Calibri" w:hAnsi="Calibri"/>
          <w:color w:val="5E7280"/>
          <w:sz w:val="18"/>
          <w:szCs w:val="18"/>
        </w:rPr>
        <w:t xml:space="preserve">The "Capture confidence" column shows how strongly the customer's wording matched the closest governed answer: "High confidence" is a strong exact match, "Matched" is a curated-phrase match, and "Low confidence — verify before quote" is a partial match that must be re-verified with the customer before quoting. The number in brackets is the match score behind the tier.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300"/>
        <w:gridCol w:w="2300"/>
        <w:gridCol w:w="2700"/>
        <w:gridCol w:w="1400"/>
        <w:gridCol w:w="1260"/>
      </w:tblGrid>
      <w:tr>
        <w:trPr>
          <w:tblHeader/>
        </w:trPr>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Question asked</w:t>
            </w:r>
          </w:p>
        </w:tc>
        <w:tc>
          <w:tcPr>
            <w:tcW w:type="dxa" w:w="23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Governed answer</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Customer wording</w:t>
            </w:r>
          </w:p>
        </w:tc>
        <w:tc>
          <w:tcPr>
            <w:tcW w:type="dxa" w:w="14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12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Capture confidence</w:t>
            </w:r>
          </w:p>
        </w:tc>
      </w:tr>
      <w:tr>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How many displays must receive independently routed content?</w:t>
            </w:r>
          </w:p>
        </w:tc>
        <w:tc>
          <w:tcPr>
            <w:tcW w:type="dxa" w:w="23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Each operator needs independent routing.</w:t>
            </w:r>
          </w:p>
        </w:tc>
        <w:tc>
          <w:tcPr>
            <w:tcW w:type="dxa" w:w="14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 with customer</w:t>
            </w:r>
          </w:p>
        </w:tc>
        <w:tc>
          <w:tcPr>
            <w:tcW w:type="dxa" w:w="12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High confidence (12)</w:t>
            </w:r>
          </w:p>
        </w:tc>
      </w:tr>
    </w:tbl>
    <w:p>
      <w:pPr>
        <w:spacing w:after="160" w:line="320"/>
      </w:pPr>
      <w:r>
        <w:rPr>
          <w:rFonts w:ascii="Calibri" w:cs="Calibri" w:eastAsia="Calibri" w:hAnsi="Calibri"/>
          <w:color w:val="5E7280"/>
          <w:sz w:val="18"/>
          <w:szCs w:val="18"/>
        </w:rPr>
        <w:t xml:space="preserve">Where a row is a note-only capture, the answer was still open at the time of writing and must be confirmed before final design sign-off.</w:t>
      </w:r>
    </w:p>
    <w:p>
      <w:pPr>
        <w:pStyle w:val="Heading1"/>
        <w:keepNext/>
        <w:spacing w:after="200" w:before="360"/>
      </w:pPr>
      <w:r>
        <w:rPr>
          <w:rFonts w:ascii="Calibri" w:cs="Calibri" w:eastAsia="Calibri" w:hAnsi="Calibri"/>
          <w:b/>
          <w:bCs/>
          <w:color w:val="2E74B5"/>
          <w:sz w:val="32"/>
          <w:szCs w:val="32"/>
        </w:rPr>
        <w:t xml:space="preserve">Unresolved Discovery Items</w:t>
      </w:r>
    </w:p>
    <w:p>
      <w:pPr>
        <w:spacing w:after="160" w:line="320"/>
      </w:pPr>
      <w:r>
        <w:rPr>
          <w:rFonts w:ascii="Calibri" w:cs="Calibri" w:eastAsia="Calibri" w:hAnsi="Calibri"/>
          <w:color w:val="5E7280"/>
          <w:sz w:val="22"/>
          <w:szCs w:val="22"/>
        </w:rPr>
        <w:t xml:space="preserve">All discovery items have been confirmed with the customer. No outstanding items require verification before final design sign-off.</w:t>
      </w:r>
    </w:p>
    <w:p>
      <w:pPr>
        <w:pStyle w:val="Heading1"/>
        <w:keepNext/>
        <w:spacing w:after="200" w:before="360"/>
      </w:pPr>
      <w:r>
        <w:rPr>
          <w:rFonts w:ascii="Calibri" w:cs="Calibri" w:eastAsia="Calibri" w:hAnsi="Calibri"/>
          <w:b/>
          <w:bCs/>
          <w:color w:val="2E74B5"/>
          <w:sz w:val="32"/>
          <w:szCs w:val="32"/>
        </w:rPr>
        <w:t xml:space="preserve">Requirement Understanding and Design Trace</w:t>
      </w:r>
    </w:p>
    <w:p>
      <w:pPr>
        <w:spacing w:after="160" w:line="320"/>
      </w:pPr>
      <w:r>
        <w:rPr>
          <w:rFonts w:ascii="Calibri" w:cs="Calibri" w:eastAsia="Calibri" w:hAnsi="Calibri"/>
          <w:color w:val="5E7280"/>
          <w:sz w:val="22"/>
          <w:szCs w:val="22"/>
        </w:rPr>
        <w:t xml:space="preserve">A canonical design revision has not been compiled for this legacy proposal.</w:t>
      </w:r>
    </w:p>
    <w:p>
      <w:pPr>
        <w:pStyle w:val="Heading1"/>
        <w:keepNext/>
        <w:spacing w:after="200" w:before="360"/>
      </w:pPr>
      <w:r>
        <w:rPr>
          <w:rFonts w:ascii="Calibri" w:cs="Calibri" w:eastAsia="Calibri" w:hAnsi="Calibri"/>
          <w:b/>
          <w:bCs/>
          <w:color w:val="2E74B5"/>
          <w:sz w:val="32"/>
          <w:szCs w:val="32"/>
        </w:rPr>
        <w:t xml:space="preserve">Proposed Solution and Business Value</w:t>
      </w:r>
    </w:p>
    <w:p>
      <w:pPr>
        <w:spacing w:after="160" w:line="320"/>
        <w:jc w:val="both"/>
      </w:pPr>
      <w:r>
        <w:rPr>
          <w:rFonts w:ascii="Calibri" w:cs="Calibri" w:eastAsia="Calibri" w:hAnsi="Calibri"/>
          <w:color w:val="172B3A"/>
          <w:sz w:val="22"/>
          <w:szCs w:val="22"/>
        </w:rPr>
        <w:t xml:space="preserve">NetworkHD 600 resilient AV-over-IP fabric</w:t>
      </w:r>
    </w:p>
    <w:p>
      <w:pPr>
        <w:pStyle w:val="ListParagraph"/>
        <w:numPr>
          <w:ilvl w:val="0"/>
          <w:numId w:val="2"/>
        </w:numPr>
        <w:spacing w:after="80" w:line="290"/>
      </w:pPr>
      <w:r>
        <w:rPr>
          <w:rFonts w:ascii="Calibri" w:cs="Calibri" w:eastAsia="Calibri" w:hAnsi="Calibri"/>
          <w:color w:val="172B3A"/>
          <w:sz w:val="22"/>
          <w:szCs w:val="22"/>
        </w:rPr>
        <w:t xml:space="preserve">A supportable architecture aligned to the stated operational requirement.</w:t>
      </w:r>
    </w:p>
    <w:p>
      <w:pPr>
        <w:pStyle w:val="ListParagraph"/>
        <w:numPr>
          <w:ilvl w:val="0"/>
          <w:numId w:val="2"/>
        </w:numPr>
        <w:spacing w:after="80" w:line="290"/>
      </w:pPr>
      <w:r>
        <w:rPr>
          <w:rFonts w:ascii="Calibri" w:cs="Calibri" w:eastAsia="Calibri" w:hAnsi="Calibri"/>
          <w:color w:val="172B3A"/>
          <w:sz w:val="22"/>
          <w:szCs w:val="22"/>
        </w:rPr>
        <w:t xml:space="preserve">A controlled route from design approval to quotation, delivery and acceptance.</w:t>
      </w:r>
    </w:p>
    <w:p>
      <w:pPr>
        <w:pStyle w:val="ListParagraph"/>
        <w:numPr>
          <w:ilvl w:val="0"/>
          <w:numId w:val="2"/>
        </w:numPr>
        <w:spacing w:after="80" w:line="290"/>
      </w:pPr>
      <w:r>
        <w:rPr>
          <w:rFonts w:ascii="Calibri" w:cs="Calibri" w:eastAsia="Calibri" w:hAnsi="Calibri"/>
          <w:color w:val="172B3A"/>
          <w:sz w:val="22"/>
          <w:szCs w:val="22"/>
        </w:rPr>
        <w:t xml:space="preserve">Clear ownership of equipment, services, dependencies and by-others scope.</w:t>
      </w:r>
    </w:p>
    <w:p>
      <w:pPr>
        <w:pStyle w:val="Heading1"/>
        <w:keepNext/>
        <w:spacing w:after="200" w:before="360"/>
      </w:pPr>
      <w:r>
        <w:rPr>
          <w:rFonts w:ascii="Calibri" w:cs="Calibri" w:eastAsia="Calibri" w:hAnsi="Calibri"/>
          <w:b/>
          <w:bCs/>
          <w:color w:val="2E74B5"/>
          <w:sz w:val="32"/>
          <w:szCs w:val="32"/>
        </w:rPr>
        <w:t xml:space="preserve">Scope of Work</w:t>
      </w:r>
    </w:p>
    <w:p>
      <w:pPr>
        <w:pStyle w:val="Heading2"/>
        <w:keepNext/>
        <w:spacing w:after="120" w:before="240"/>
      </w:pPr>
      <w:r>
        <w:rPr>
          <w:rFonts w:ascii="Calibri" w:cs="Calibri" w:eastAsia="Calibri" w:hAnsi="Calibri"/>
          <w:b/>
          <w:bCs/>
          <w:color w:val="08223A"/>
          <w:sz w:val="26"/>
          <w:szCs w:val="26"/>
        </w:rPr>
        <w:t xml:space="preserve">Included scope</w:t>
      </w:r>
    </w:p>
    <w:p>
      <w:pPr>
        <w:pStyle w:val="ListParagraph"/>
        <w:numPr>
          <w:ilvl w:val="0"/>
          <w:numId w:val="2"/>
        </w:numPr>
        <w:spacing w:after="80" w:line="290"/>
      </w:pPr>
      <w:r>
        <w:rPr>
          <w:rFonts w:ascii="Calibri" w:cs="Calibri" w:eastAsia="Calibri" w:hAnsi="Calibri"/>
          <w:color w:val="172B3A"/>
          <w:sz w:val="22"/>
          <w:szCs w:val="22"/>
        </w:rPr>
        <w:t xml:space="preserve">WyreStorm equipment listed in the equipment schedule.</w:t>
      </w:r>
    </w:p>
    <w:p>
      <w:pPr>
        <w:pStyle w:val="ListParagraph"/>
        <w:numPr>
          <w:ilvl w:val="0"/>
          <w:numId w:val="2"/>
        </w:numPr>
        <w:spacing w:after="80" w:line="290"/>
      </w:pPr>
      <w:r>
        <w:rPr>
          <w:rFonts w:ascii="Calibri" w:cs="Calibri" w:eastAsia="Calibri" w:hAnsi="Calibri"/>
          <w:color w:val="172B3A"/>
          <w:sz w:val="22"/>
          <w:szCs w:val="22"/>
        </w:rPr>
        <w:t xml:space="preserve">Product selection and proposal support based on the captured Discovery brief.</w:t>
      </w:r>
    </w:p>
    <w:p>
      <w:pPr>
        <w:pStyle w:val="ListParagraph"/>
        <w:numPr>
          <w:ilvl w:val="0"/>
          <w:numId w:val="2"/>
        </w:numPr>
        <w:spacing w:after="80" w:line="290"/>
      </w:pPr>
      <w:r>
        <w:rPr>
          <w:rFonts w:ascii="Calibri" w:cs="Calibri" w:eastAsia="Calibri" w:hAnsi="Calibri"/>
          <w:color w:val="172B3A"/>
          <w:sz w:val="22"/>
          <w:szCs w:val="22"/>
        </w:rPr>
        <w:t xml:space="preserve">Customer-safe explanation of the recommended system architecture.</w:t>
      </w:r>
    </w:p>
    <w:p>
      <w:pPr>
        <w:pStyle w:val="Heading2"/>
        <w:keepNext/>
        <w:spacing w:after="120" w:before="240"/>
      </w:pPr>
      <w:r>
        <w:rPr>
          <w:rFonts w:ascii="Calibri" w:cs="Calibri" w:eastAsia="Calibri" w:hAnsi="Calibri"/>
          <w:b/>
          <w:bCs/>
          <w:color w:val="08223A"/>
          <w:sz w:val="26"/>
          <w:szCs w:val="26"/>
        </w:rPr>
        <w:t xml:space="preserve">Delivery activities</w:t>
      </w:r>
    </w:p>
    <w:p>
      <w:pPr>
        <w:pStyle w:val="ListParagraph"/>
        <w:numPr>
          <w:ilvl w:val="0"/>
          <w:numId w:val="2"/>
        </w:numPr>
        <w:spacing w:after="80" w:line="290"/>
      </w:pPr>
      <w:r>
        <w:rPr>
          <w:rFonts w:ascii="Calibri" w:cs="Calibri" w:eastAsia="Calibri" w:hAnsi="Calibri"/>
          <w:color w:val="172B3A"/>
          <w:sz w:val="22"/>
          <w:szCs w:val="22"/>
        </w:rPr>
        <w:t xml:space="preserve">Validate the final design and interfaces against site conditions.</w:t>
      </w:r>
    </w:p>
    <w:p>
      <w:pPr>
        <w:pStyle w:val="ListParagraph"/>
        <w:numPr>
          <w:ilvl w:val="0"/>
          <w:numId w:val="2"/>
        </w:numPr>
        <w:spacing w:after="80" w:line="290"/>
      </w:pPr>
      <w:r>
        <w:rPr>
          <w:rFonts w:ascii="Calibri" w:cs="Calibri" w:eastAsia="Calibri" w:hAnsi="Calibri"/>
          <w:color w:val="172B3A"/>
          <w:sz w:val="22"/>
          <w:szCs w:val="22"/>
        </w:rPr>
        <w:t xml:space="preserve">Supply and configure the listed WyreStorm hardware where expressly included.</w:t>
      </w:r>
    </w:p>
    <w:p>
      <w:pPr>
        <w:pStyle w:val="ListParagraph"/>
        <w:numPr>
          <w:ilvl w:val="0"/>
          <w:numId w:val="2"/>
        </w:numPr>
        <w:spacing w:after="80" w:line="290"/>
      </w:pPr>
      <w:r>
        <w:rPr>
          <w:rFonts w:ascii="Calibri" w:cs="Calibri" w:eastAsia="Calibri" w:hAnsi="Calibri"/>
          <w:color w:val="172B3A"/>
          <w:sz w:val="22"/>
          <w:szCs w:val="22"/>
        </w:rPr>
        <w:t xml:space="preserve">Complete functional testing and record acceptance results where commissioning is quoted.</w:t>
      </w:r>
    </w:p>
    <w:p>
      <w:pPr>
        <w:pStyle w:val="Heading2"/>
        <w:keepNext/>
        <w:spacing w:after="120" w:before="240"/>
      </w:pPr>
      <w:r>
        <w:rPr>
          <w:rFonts w:ascii="Calibri" w:cs="Calibri" w:eastAsia="Calibri" w:hAnsi="Calibri"/>
          <w:b/>
          <w:bCs/>
          <w:color w:val="08223A"/>
          <w:sz w:val="26"/>
          <w:szCs w:val="26"/>
        </w:rPr>
        <w:t xml:space="preserve">Not included / by others</w:t>
      </w:r>
    </w:p>
    <w:p>
      <w:pPr>
        <w:pStyle w:val="ListParagraph"/>
        <w:numPr>
          <w:ilvl w:val="0"/>
          <w:numId w:val="2"/>
        </w:numPr>
        <w:spacing w:after="80" w:line="290"/>
      </w:pPr>
      <w:r>
        <w:rPr>
          <w:rFonts w:ascii="Calibri" w:cs="Calibri" w:eastAsia="Calibri" w:hAnsi="Calibri"/>
          <w:color w:val="172B3A"/>
          <w:sz w:val="22"/>
          <w:szCs w:val="22"/>
        </w:rPr>
        <w:t xml:space="preserve">Cabling, connectors, patch leads and installation consumables unless expressly listed.</w:t>
      </w:r>
    </w:p>
    <w:p>
      <w:pPr>
        <w:pStyle w:val="ListParagraph"/>
        <w:numPr>
          <w:ilvl w:val="0"/>
          <w:numId w:val="2"/>
        </w:numPr>
        <w:spacing w:after="80" w:line="290"/>
      </w:pPr>
      <w:r>
        <w:rPr>
          <w:rFonts w:ascii="Calibri" w:cs="Calibri" w:eastAsia="Calibri" w:hAnsi="Calibri"/>
          <w:color w:val="172B3A"/>
          <w:sz w:val="22"/>
          <w:szCs w:val="22"/>
        </w:rPr>
        <w:t xml:space="preserve">Installation labour, project management, commissioning and programming unless expressly listed.</w:t>
      </w:r>
    </w:p>
    <w:p>
      <w:pPr>
        <w:pStyle w:val="ListParagraph"/>
        <w:numPr>
          <w:ilvl w:val="0"/>
          <w:numId w:val="2"/>
        </w:numPr>
        <w:spacing w:after="80" w:line="290"/>
      </w:pPr>
      <w:r>
        <w:rPr>
          <w:rFonts w:ascii="Calibri" w:cs="Calibri" w:eastAsia="Calibri" w:hAnsi="Calibri"/>
          <w:color w:val="172B3A"/>
          <w:sz w:val="22"/>
          <w:szCs w:val="22"/>
        </w:rPr>
        <w:t xml:space="preserve">Visio, CAD, schematic and as-built drawing production unless expressly listed.</w:t>
      </w:r>
    </w:p>
    <w:p>
      <w:pPr>
        <w:pStyle w:val="ListParagraph"/>
        <w:numPr>
          <w:ilvl w:val="0"/>
          <w:numId w:val="2"/>
        </w:numPr>
        <w:spacing w:after="80" w:line="290"/>
      </w:pPr>
      <w:r>
        <w:rPr>
          <w:rFonts w:ascii="Calibri" w:cs="Calibri" w:eastAsia="Calibri" w:hAnsi="Calibri"/>
          <w:color w:val="172B3A"/>
          <w:sz w:val="22"/>
          <w:szCs w:val="22"/>
        </w:rPr>
        <w:t xml:space="preserve">Displays, projectors, loudspeakers, microphones, network switches and third-party equipment unless listed.</w:t>
      </w:r>
    </w:p>
    <w:p>
      <w:pPr>
        <w:pStyle w:val="ListParagraph"/>
        <w:numPr>
          <w:ilvl w:val="0"/>
          <w:numId w:val="2"/>
        </w:numPr>
        <w:spacing w:after="80" w:line="290"/>
      </w:pPr>
      <w:r>
        <w:rPr>
          <w:rFonts w:ascii="Calibri" w:cs="Calibri" w:eastAsia="Calibri" w:hAnsi="Calibri"/>
          <w:color w:val="172B3A"/>
          <w:sz w:val="22"/>
          <w:szCs w:val="22"/>
        </w:rPr>
        <w:t xml:space="preserve">Electrical, structural, containment and builder's work.</w:t>
      </w:r>
    </w:p>
    <w:p>
      <w:pPr>
        <w:pStyle w:val="Heading1"/>
        <w:keepNext/>
        <w:spacing w:after="200" w:before="360"/>
      </w:pPr>
      <w:r>
        <w:rPr>
          <w:rFonts w:ascii="Calibri" w:cs="Calibri" w:eastAsia="Calibri" w:hAnsi="Calibri"/>
          <w:b/>
          <w:bCs/>
          <w:color w:val="2E74B5"/>
          <w:sz w:val="32"/>
          <w:szCs w:val="32"/>
        </w:rPr>
        <w:t xml:space="preserve">Equipment and Pricing</w:t>
      </w:r>
    </w:p>
    <w:p>
      <w:pPr>
        <w:spacing w:after="160" w:line="320"/>
      </w:pPr>
      <w:r>
        <w:rPr>
          <w:rFonts w:ascii="Calibri" w:cs="Calibri" w:eastAsia="Calibri" w:hAnsi="Calibri"/>
          <w:b/>
          <w:bCs/>
          <w:color w:val="08223A"/>
          <w:sz w:val="22"/>
          <w:szCs w:val="22"/>
        </w:rPr>
        <w:t xml:space="preserve">The equipment total is £7,650.00 excluding VAT / sales tax.</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00"/>
        <w:gridCol w:w="2700"/>
        <w:gridCol w:w="650"/>
        <w:gridCol w:w="1350"/>
        <w:gridCol w:w="1450"/>
        <w:gridCol w:w="1710"/>
      </w:tblGrid>
      <w:tr>
        <w:trPr>
          <w:tblHeader/>
        </w:trPr>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27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Description</w:t>
            </w:r>
          </w:p>
        </w:tc>
        <w:tc>
          <w:tcPr>
            <w:tcW w:type="dxa" w:w="6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3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Unit price</w:t>
            </w:r>
          </w:p>
        </w:tc>
        <w:tc>
          <w:tcPr>
            <w:tcW w:type="dxa" w:w="14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Line total</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encoder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£1,000.00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£2,000.00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600 decoder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£1,100.00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£4,400.00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27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controller</w:t>
            </w:r>
          </w:p>
        </w:tc>
        <w:tc>
          <w:tcPr>
            <w:tcW w:type="dxa" w:w="6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3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4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£1,250.00</w:t>
            </w:r>
          </w:p>
        </w:tc>
        <w:tc>
          <w:tcPr>
            <w:tcW w:type="dxa" w:w="17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Required</w:t>
            </w:r>
          </w:p>
        </w:tc>
      </w:tr>
      <w:tr>
        <w:tc>
          <w:tcPr>
            <w:tcW w:type="dxa" w:w="4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Equipment total</w:t>
            </w:r>
          </w:p>
        </w:tc>
        <w:tc>
          <w:tcPr>
            <w:tcW w:type="dxa" w:w="2800"/>
            <w:shd w:fill="F4F6F9" w:val="clear"/>
            <w:tcMar>
              <w:top w:type="dxa" w:w="80"/>
              <w:left w:type="dxa" w:w="120"/>
              <w:bottom w:type="dxa" w:w="80"/>
              <w:right w:type="dxa" w:w="120"/>
            </w:tcMar>
          </w:tcPr>
          <w:p>
            <w:pPr>
              <w:spacing w:after="0" w:line="260"/>
              <w:jc w:val="right"/>
            </w:pPr>
            <w:r>
              <w:rPr>
                <w:rFonts w:ascii="Calibri" w:cs="Calibri" w:eastAsia="Calibri" w:hAnsi="Calibri"/>
                <w:b/>
                <w:bCs/>
                <w:color w:val="08223A"/>
                <w:sz w:val="18"/>
                <w:szCs w:val="18"/>
              </w:rPr>
              <w:t xml:space="preserve">£7,650.00</w:t>
            </w:r>
          </w:p>
        </w:tc>
        <w:tc>
          <w:tcPr>
            <w:tcW w:type="dxa" w:w="17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Excl. tax</w:t>
            </w:r>
          </w:p>
        </w:tc>
      </w:tr>
    </w:tbl>
    <w:p>
      <w:pPr>
        <w:spacing w:after="160" w:line="320"/>
      </w:pPr>
      <w:r>
        <w:rPr>
          <w:rFonts w:ascii="Calibri" w:cs="Calibri" w:eastAsia="Calibri" w:hAnsi="Calibri"/>
          <w:color w:val="5E7280"/>
          <w:sz w:val="18"/>
          <w:szCs w:val="18"/>
        </w:rPr>
        <w:t xml:space="preserve">Pricing covers only the listed equipment. Services, third-party equipment, freight, taxes and by-others work are excluded unless expressly priced below.</w:t>
      </w:r>
    </w:p>
    <w:p>
      <w:pPr>
        <w:pStyle w:val="Heading1"/>
        <w:keepNext/>
        <w:spacing w:after="200" w:before="360"/>
      </w:pPr>
      <w:r>
        <w:rPr>
          <w:rFonts w:ascii="Calibri" w:cs="Calibri" w:eastAsia="Calibri" w:hAnsi="Calibri"/>
          <w:b/>
          <w:bCs/>
          <w:color w:val="2E74B5"/>
          <w:sz w:val="32"/>
          <w:szCs w:val="32"/>
        </w:rPr>
        <w:t xml:space="preserve">Services and Commercial Allowances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3900"/>
        <w:gridCol w:w="2460"/>
        <w:gridCol w:w="3000"/>
      </w:tblGrid>
      <w:tr>
        <w:trPr>
          <w:tblHeader/>
        </w:trPr>
        <w:tc>
          <w:tcPr>
            <w:tcW w:type="dxa" w:w="3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Service / discipline</w:t>
            </w:r>
          </w:p>
        </w:tc>
        <w:tc>
          <w:tcPr>
            <w:tcW w:type="dxa" w:w="24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3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Commercial status</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and consumables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Installation labour</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Project management</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Configuration and commissioning</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r>
        <w:tc>
          <w:tcPr>
            <w:tcW w:type="dxa" w:w="3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Visio / CAD / as-built drawings</w:t>
            </w:r>
          </w:p>
        </w:tc>
        <w:tc>
          <w:tcPr>
            <w:tcW w:type="dxa" w:w="24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By integrator</w:t>
            </w:r>
          </w:p>
        </w:tc>
        <w:tc>
          <w:tcPr>
            <w:tcW w:type="dxa" w:w="30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Separately quoted</w:t>
            </w:r>
          </w:p>
        </w:tc>
      </w:tr>
    </w:tbl>
    <w:p>
      <w:pPr>
        <w:pStyle w:val="Heading1"/>
        <w:keepNext/>
        <w:spacing w:after="200" w:before="360"/>
      </w:pPr>
      <w:r>
        <w:rPr>
          <w:rFonts w:ascii="Calibri" w:cs="Calibri" w:eastAsia="Calibri" w:hAnsi="Calibri"/>
          <w:b/>
          <w:bCs/>
          <w:color w:val="2E74B5"/>
          <w:sz w:val="32"/>
          <w:szCs w:val="32"/>
        </w:rPr>
        <w:t xml:space="preserve">Third-Party System Scope</w:t>
      </w:r>
    </w:p>
    <w:p>
      <w:pPr>
        <w:spacing w:after="160" w:line="320"/>
        <w:jc w:val="both"/>
      </w:pPr>
      <w:r>
        <w:rPr>
          <w:rFonts w:ascii="Calibri" w:cs="Calibri" w:eastAsia="Calibri" w:hAnsi="Calibri"/>
          <w:color w:val="172B3A"/>
          <w:sz w:val="22"/>
          <w:szCs w:val="22"/>
        </w:rPr>
        <w:t xml:space="preserve">WyreStorm forms part of the complete AV solution. The following equipment and delivery disciplines must be designed, owned and commercially completed before customer issue. TBC cells are deliberately editable allowances, not included prices.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550"/>
        <w:gridCol w:w="3370"/>
        <w:gridCol w:w="850"/>
        <w:gridCol w:w="2090"/>
        <w:gridCol w:w="1500"/>
      </w:tblGrid>
      <w:tr>
        <w:trPr>
          <w:tblHeader/>
        </w:trPr>
        <w:tc>
          <w:tcPr>
            <w:tcW w:type="dxa" w:w="15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Discipline</w:t>
            </w:r>
          </w:p>
        </w:tc>
        <w:tc>
          <w:tcPr>
            <w:tcW w:type="dxa" w:w="337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Scope / allowance</w:t>
            </w:r>
          </w:p>
        </w:tc>
        <w:tc>
          <w:tcPr>
            <w:tcW w:type="dxa" w:w="8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209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Responsibility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Price / allowance</w:t>
            </w:r>
          </w:p>
        </w:tc>
      </w:tr>
      <w:tr>
        <w:tc>
          <w:tcPr>
            <w:tcW w:type="dxa" w:w="15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Third-party scope</w:t>
            </w:r>
          </w:p>
        </w:tc>
        <w:tc>
          <w:tcPr>
            <w:tcW w:type="dxa" w:w="337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all non-WyreStorm equipment and delivery services.</w:t>
            </w:r>
          </w:p>
        </w:tc>
        <w:tc>
          <w:tcPr>
            <w:tcW w:type="dxa" w:w="85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209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customer</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TBC</w:t>
            </w:r>
          </w:p>
        </w:tc>
      </w:tr>
    </w:tbl>
    <w:p>
      <w:pPr>
        <w:pStyle w:val="Heading1"/>
        <w:keepNext/>
        <w:spacing w:after="200" w:before="360"/>
      </w:pPr>
      <w:r>
        <w:rPr>
          <w:rFonts w:ascii="Calibri" w:cs="Calibri" w:eastAsia="Calibri" w:hAnsi="Calibri"/>
          <w:b/>
          <w:bCs/>
          <w:color w:val="2E74B5"/>
          <w:sz w:val="32"/>
          <w:szCs w:val="32"/>
        </w:rPr>
        <w:t xml:space="preserve">Technical Architecture</w:t>
      </w:r>
    </w:p>
    <w:p>
      <w:pPr>
        <w:spacing w:after="160" w:line="320"/>
        <w:jc w:val="both"/>
      </w:pPr>
      <w:r>
        <w:rPr>
          <w:rFonts w:ascii="Calibri" w:cs="Calibri" w:eastAsia="Calibri" w:hAnsi="Calibri"/>
          <w:color w:val="172B3A"/>
          <w:sz w:val="22"/>
          <w:szCs w:val="22"/>
        </w:rPr>
        <w:t xml:space="preserve">Operator sources → NetworkHD encoders → 10GbE network → NetworkHD decoders → Four displays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8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Stage</w:t>
            </w:r>
          </w:p>
        </w:tc>
        <w:tc>
          <w:tcPr>
            <w:tcW w:type="dxa" w:w="8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System function</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1</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Operator sources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2</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encoders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3</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10GbE network</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4</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NetworkHD decoders</w:t>
            </w:r>
          </w:p>
        </w:tc>
      </w:tr>
      <w:tr>
        <w:tc>
          <w:tcPr>
            <w:tcW w:type="dxa" w:w="1250"/>
            <w:tcMar>
              <w:top w:type="dxa" w:w="80"/>
              <w:left w:type="dxa" w:w="120"/>
              <w:bottom w:type="dxa" w:w="80"/>
              <w:right w:type="dxa" w:w="120"/>
            </w:tcMar>
          </w:tcPr>
          <w:p>
            <w:pPr>
              <w:spacing w:after="0" w:line="260"/>
              <w:jc w:val="center"/>
            </w:pPr>
            <w:r>
              <w:rPr>
                <w:rFonts w:ascii="Calibri" w:cs="Calibri" w:eastAsia="Calibri" w:hAnsi="Calibri"/>
                <w:b/>
                <w:bCs/>
                <w:color w:val="08223A"/>
                <w:sz w:val="18"/>
                <w:szCs w:val="18"/>
              </w:rPr>
              <w:t xml:space="preserve">5</w:t>
            </w:r>
          </w:p>
        </w:tc>
        <w:tc>
          <w:tcPr>
            <w:tcW w:type="dxa" w:w="8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Four displays</w:t>
            </w:r>
          </w:p>
        </w:tc>
      </w:tr>
    </w:tbl>
    <w:p>
      <w:pPr>
        <w:pStyle w:val="Heading1"/>
        <w:keepNext/>
        <w:spacing w:after="200" w:before="360"/>
      </w:pPr>
      <w:r>
        <w:rPr>
          <w:rFonts w:ascii="Calibri" w:cs="Calibri" w:eastAsia="Calibri" w:hAnsi="Calibri"/>
          <w:b/>
          <w:bCs/>
          <w:color w:val="2E74B5"/>
          <w:sz w:val="32"/>
          <w:szCs w:val="32"/>
        </w:rPr>
        <w:t xml:space="preserve">Cable Schedule</w:t>
      </w:r>
    </w:p>
    <w:p>
      <w:pPr>
        <w:spacing w:after="160" w:line="320"/>
        <w:jc w:val="both"/>
      </w:pPr>
      <w:r>
        <w:rPr>
          <w:rFonts w:ascii="Calibri" w:cs="Calibri" w:eastAsia="Calibri" w:hAnsi="Calibri"/>
          <w:color w:val="172B3A"/>
          <w:sz w:val="22"/>
          <w:szCs w:val="22"/>
        </w:rPr>
        <w:t xml:space="preserve">The cable schedule below lists every connection in the recommended system, derived from the native topology-aware schematic engine. Each row shows the transport type, maximum cable length, connector format, and validation status. 7 of 16 runs are confirmed from governed product data; 9 require site confirmation; 0 are not yet confirmed.</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000"/>
        <w:gridCol w:w="1500"/>
        <w:gridCol w:w="900"/>
        <w:gridCol w:w="1200"/>
        <w:gridCol w:w="900"/>
        <w:gridCol w:w="2560"/>
      </w:tblGrid>
      <w:tr>
        <w:trPr>
          <w:tblHeader/>
        </w:trPr>
        <w:tc>
          <w:tcPr>
            <w:tcW w:type="dxa" w:w="20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Cable run</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Transport type</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Max length</w:t>
            </w:r>
          </w:p>
        </w:tc>
        <w:tc>
          <w:tcPr>
            <w:tcW w:type="dxa" w:w="1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Connectors</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Status</w:t>
            </w:r>
          </w:p>
        </w:tc>
        <w:tc>
          <w:tcPr>
            <w:tcW w:type="dxa" w:w="25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Validation reminder</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NHD-600-TX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NHD-CTL-PRO-V2 → Network switch</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port availability, VLAN assignment, PoE budget, cable category, and network topology.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NHD-600-RX → NHD-600-RX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Video</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15m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HDMI-A to HDMI-A</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source and display connector types, cable length (typically &lt;5m passive), HDCP version, EDID behaviour, and resolution/HDR requirements.</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Control system → NHD-600-TX</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Control</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100m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DB-9 / IR /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Confirmed</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control protocol (RS-232/IR/IP), baud rate, pinout, cable routing, and control processor compatibility.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AV network infrastructure</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Network / AVoIP</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Unlimited</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RJ45 to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switch model, port count, PoE budget, VLAN configuration, multicast policy, and uplink capacity.</w:t>
            </w:r>
          </w:p>
        </w:tc>
      </w:tr>
      <w:tr>
        <w:tc>
          <w:tcPr>
            <w:tcW w:type="dxa" w:w="2000"/>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Control system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Control</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100m</w:t>
            </w:r>
          </w:p>
        </w:tc>
        <w:tc>
          <w:tcPr>
            <w:tcW w:type="dxa" w:w="1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DB-9 / IR / RJ45</w:t>
            </w:r>
          </w:p>
        </w:tc>
        <w:tc>
          <w:tcPr>
            <w:tcW w:type="dxa" w:w="9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Needs site confirmation</w:t>
            </w:r>
          </w:p>
        </w:tc>
        <w:tc>
          <w:tcPr>
            <w:tcW w:type="dxa" w:w="25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Define who operates the room and convert engineering routes into user-friendly presets.</w:t>
            </w:r>
          </w:p>
        </w:tc>
      </w:tr>
    </w:tbl>
    <w:p>
      <w:pPr>
        <w:pStyle w:val="Heading1"/>
        <w:keepNext/>
        <w:spacing w:after="200" w:before="360"/>
      </w:pPr>
      <w:r>
        <w:rPr>
          <w:rFonts w:ascii="Calibri" w:cs="Calibri" w:eastAsia="Calibri" w:hAnsi="Calibri"/>
          <w:b/>
          <w:bCs/>
          <w:color w:val="2E74B5"/>
          <w:sz w:val="32"/>
          <w:szCs w:val="32"/>
        </w:rPr>
        <w:t xml:space="preserve">WyreStorm Product Specifications</w:t>
      </w:r>
    </w:p>
    <w:p>
      <w:pPr>
        <w:spacing w:after="160" w:line="320"/>
      </w:pPr>
      <w:r>
        <w:rPr>
          <w:rFonts w:ascii="Calibri" w:cs="Calibri" w:eastAsia="Calibri" w:hAnsi="Calibri"/>
          <w:color w:val="5E7280"/>
          <w:sz w:val="22"/>
          <w:szCs w:val="22"/>
        </w:rPr>
        <w:t xml:space="preserve">Product specifications will be added after the final WyreStorm equipment selection is approved.</w:t>
      </w:r>
    </w:p>
    <w:p>
      <w:pPr>
        <w:pStyle w:val="Heading1"/>
        <w:keepNext/>
        <w:spacing w:after="200" w:before="360"/>
      </w:pPr>
      <w:r>
        <w:rPr>
          <w:rFonts w:ascii="Calibri" w:cs="Calibri" w:eastAsia="Calibri" w:hAnsi="Calibri"/>
          <w:b/>
          <w:bCs/>
          <w:color w:val="2E74B5"/>
          <w:sz w:val="32"/>
          <w:szCs w:val="32"/>
        </w:rPr>
        <w:t xml:space="preserve">Power Strategy</w:t>
      </w:r>
    </w:p>
    <w:p>
      <w:pPr>
        <w:spacing w:after="160" w:line="320"/>
        <w:jc w:val="both"/>
      </w:pPr>
      <w:r>
        <w:rPr>
          <w:rFonts w:ascii="Calibri" w:cs="Calibri" w:eastAsia="Calibri" w:hAnsi="Calibri"/>
          <w:color w:val="172B3A"/>
          <w:sz w:val="22"/>
          <w:szCs w:val="22"/>
        </w:rPr>
        <w:t xml:space="preserve">The power budget below is derived from the governed technical profiles for each selected product. Figures are stated-maximum consumption per the published profile and must be verified against the current datasheet before order.</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2200"/>
        <w:gridCol w:w="900"/>
        <w:gridCol w:w="1600"/>
        <w:gridCol w:w="1600"/>
        <w:gridCol w:w="3060"/>
      </w:tblGrid>
      <w:tr>
        <w:trPr>
          <w:tblHeader/>
        </w:trPr>
        <w:tc>
          <w:tcPr>
            <w:tcW w:type="dxa" w:w="22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SKU</w:t>
            </w:r>
          </w:p>
        </w:tc>
        <w:tc>
          <w:tcPr>
            <w:tcW w:type="dxa" w:w="9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Qty</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Per-unit max</w:t>
            </w:r>
          </w:p>
        </w:tc>
        <w:tc>
          <w:tcPr>
            <w:tcW w:type="dxa" w:w="16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Total max</w:t>
            </w:r>
          </w:p>
        </w:tc>
        <w:tc>
          <w:tcPr>
            <w:tcW w:type="dxa" w:w="306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Power data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NHD-600-TX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2</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NHD-600-RX</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4</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Not proven</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No power data in governed profile</w:t>
            </w:r>
          </w:p>
        </w:tc>
      </w:tr>
      <w:tr>
        <w:tc>
          <w:tcPr>
            <w:tcW w:type="dxa" w:w="22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NHD-CTL-PRO-V2</w:t>
            </w:r>
          </w:p>
        </w:tc>
        <w:tc>
          <w:tcPr>
            <w:tcW w:type="dxa" w:w="9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1600"/>
            <w:tcMar>
              <w:top w:type="dxa" w:w="80"/>
              <w:left w:type="dxa" w:w="120"/>
              <w:bottom w:type="dxa" w:w="80"/>
              <w:right w:type="dxa" w:w="120"/>
            </w:tcMar>
          </w:tcPr>
          <w:p>
            <w:pPr>
              <w:spacing w:after="0" w:line="260"/>
              <w:jc w:val="right"/>
            </w:pPr>
            <w:r>
              <w:rPr>
                <w:rFonts w:ascii="Calibri" w:cs="Calibri" w:eastAsia="Calibri" w:hAnsi="Calibri"/>
                <w:color w:val="172B3A"/>
                <w:sz w:val="18"/>
                <w:szCs w:val="18"/>
              </w:rPr>
              <w:t xml:space="preserve">15.4W</w:t>
            </w:r>
          </w:p>
        </w:tc>
        <w:tc>
          <w:tcPr>
            <w:tcW w:type="dxa" w:w="306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12V DC | PoE compliant; Max 15.4W, average 8W</w:t>
            </w:r>
          </w:p>
        </w:tc>
      </w:tr>
    </w:tbl>
    <w:p>
      <w:pPr>
        <w:spacing w:after="160" w:line="320"/>
      </w:pPr>
      <w:r>
        <w:rPr>
          <w:rFonts w:ascii="Calibri" w:cs="Calibri" w:eastAsia="Calibri" w:hAnsi="Calibri"/>
          <w:color w:val="08223A"/>
          <w:sz w:val="22"/>
          <w:szCs w:val="22"/>
        </w:rPr>
        <w:t xml:space="preserve">Stated maximum consumption: approximately 15W across the products with proven figures. Confirm the local power strategy (circuits, rack PSUs, PoE/PoH injector budgets) covers the full BOM before quoting.</w:t>
      </w:r>
    </w:p>
    <w:p>
      <w:pPr>
        <w:spacing w:after="160" w:line="320"/>
      </w:pPr>
      <w:r>
        <w:rPr>
          <w:rFonts w:ascii="Calibri" w:cs="Calibri" w:eastAsia="Calibri" w:hAnsi="Calibri"/>
          <w:color w:val="08223A"/>
          <w:sz w:val="22"/>
          <w:szCs w:val="22"/>
        </w:rPr>
        <w:t xml:space="preserve">PoE/PoH requirement: NHD-CTL-PRO-V2 — confirm the injector or switch PoE budget covers the total before order.</w:t>
      </w:r>
    </w:p>
    <w:p>
      <w:pPr>
        <w:pStyle w:val="Heading1"/>
        <w:keepNext/>
        <w:spacing w:after="200" w:before="360"/>
      </w:pPr>
      <w:r>
        <w:rPr>
          <w:rFonts w:ascii="Calibri" w:cs="Calibri" w:eastAsia="Calibri" w:hAnsi="Calibri"/>
          <w:b/>
          <w:bCs/>
          <w:color w:val="2E74B5"/>
          <w:sz w:val="32"/>
          <w:szCs w:val="32"/>
        </w:rPr>
        <w:t xml:space="preserve">Testing and Acceptance Criteria</w:t>
      </w:r>
    </w:p>
    <w:p>
      <w:pPr>
        <w:pStyle w:val="ListParagraph"/>
        <w:numPr>
          <w:ilvl w:val="0"/>
          <w:numId w:val="2"/>
        </w:numPr>
        <w:spacing w:after="80" w:line="290"/>
      </w:pPr>
      <w:r>
        <w:rPr>
          <w:rFonts w:ascii="Calibri" w:cs="Calibri" w:eastAsia="Calibri" w:hAnsi="Calibri"/>
          <w:color w:val="172B3A"/>
          <w:sz w:val="22"/>
          <w:szCs w:val="22"/>
        </w:rPr>
        <w:t xml:space="preserve">Every approved source-to-display route passes functional testing.</w:t>
      </w:r>
    </w:p>
    <w:p>
      <w:pPr>
        <w:pStyle w:val="Heading1"/>
        <w:keepNext/>
        <w:spacing w:after="200" w:before="360"/>
      </w:pPr>
      <w:r>
        <w:rPr>
          <w:rFonts w:ascii="Calibri" w:cs="Calibri" w:eastAsia="Calibri" w:hAnsi="Calibri"/>
          <w:b/>
          <w:bCs/>
          <w:color w:val="2E74B5"/>
          <w:sz w:val="32"/>
          <w:szCs w:val="32"/>
        </w:rPr>
        <w:t xml:space="preserve">Timeline and Phases</w:t>
      </w:r>
    </w:p>
    <w:p>
      <w:pPr>
        <w:spacing w:after="160" w:line="320"/>
      </w:pPr>
      <w:r>
        <w:rPr>
          <w:rFonts w:ascii="Calibri" w:cs="Calibri" w:eastAsia="Calibri" w:hAnsi="Calibri"/>
          <w:color w:val="5E7280"/>
          <w:sz w:val="22"/>
          <w:szCs w:val="22"/>
        </w:rPr>
        <w:t xml:space="preserve">The programme below is indicative and begins only after design approval, commercial acceptance, stock confirmation and site readiness.</w:t>
      </w:r>
    </w:p>
    <w:tbl>
      <w:tblPr>
        <w:tblW w:type="dxa" w:w="9360"/>
        <w:tblBorders>
          <w:top w:val="single" w:color="CBD5E1" w:sz="4"/>
          <w:left w:val="single" w:color="CBD5E1" w:sz="4"/>
          <w:bottom w:val="single" w:color="CBD5E1" w:sz="4"/>
          <w:right w:val="single" w:color="CBD5E1" w:sz="4"/>
          <w:insideH w:val="single" w:color="CBD5E1" w:sz="3"/>
          <w:insideV w:val="single" w:color="CBD5E1" w:sz="3"/>
        </w:tblBorders>
        <w:tblLayout w:type="fixed"/>
      </w:tblPr>
      <w:tblGrid>
        <w:gridCol w:w="1250"/>
        <w:gridCol w:w="2500"/>
        <w:gridCol w:w="1500"/>
        <w:gridCol w:w="4110"/>
      </w:tblGrid>
      <w:tr>
        <w:trPr>
          <w:tblHeader/>
        </w:trPr>
        <w:tc>
          <w:tcPr>
            <w:tcW w:type="dxa" w:w="125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Phase</w:t>
            </w:r>
          </w:p>
        </w:tc>
        <w:tc>
          <w:tcPr>
            <w:tcW w:type="dxa" w:w="2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Activity</w:t>
            </w:r>
          </w:p>
        </w:tc>
        <w:tc>
          <w:tcPr>
            <w:tcW w:type="dxa" w:w="150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Indicative timing</w:t>
            </w:r>
          </w:p>
        </w:tc>
        <w:tc>
          <w:tcPr>
            <w:tcW w:type="dxa" w:w="4110"/>
            <w:shd w:fill="F4F6F9" w:val="clear"/>
            <w:tcMar>
              <w:top w:type="dxa" w:w="80"/>
              <w:left w:type="dxa" w:w="120"/>
              <w:bottom w:type="dxa" w:w="80"/>
              <w:right w:type="dxa" w:w="120"/>
            </w:tcMar>
          </w:tcPr>
          <w:p>
            <w:pPr>
              <w:spacing w:after="0" w:line="260"/>
            </w:pPr>
            <w:r>
              <w:rPr>
                <w:rFonts w:ascii="Calibri" w:cs="Calibri" w:eastAsia="Calibri" w:hAnsi="Calibri"/>
                <w:b/>
                <w:bCs/>
                <w:color w:val="08223A"/>
                <w:sz w:val="18"/>
                <w:szCs w:val="18"/>
              </w:rPr>
              <w:t xml:space="preserve">Dependency / output</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1</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Site survey and preparation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1-3</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Confirm room, cable routes, network, power and access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2</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Hardware delivery and physical installation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4-7</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Subject to stock and site readiness</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3</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Cabling, configuration and integration</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8-10</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Integrator / trades complete by-others scope</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4</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Commissioning and acceptance testing</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11-12</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Validate routing, control, audio, USB and failover</w:t>
            </w:r>
          </w:p>
        </w:tc>
      </w:tr>
      <w:tr>
        <w:tc>
          <w:tcPr>
            <w:tcW w:type="dxa" w:w="125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Phase 5</w:t>
            </w:r>
          </w:p>
        </w:tc>
        <w:tc>
          <w:tcPr>
            <w:tcW w:type="dxa" w:w="2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Handover and close-out</w:t>
            </w:r>
          </w:p>
        </w:tc>
        <w:tc>
          <w:tcPr>
            <w:tcW w:type="dxa" w:w="150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Days 13-14</w:t>
            </w:r>
          </w:p>
        </w:tc>
        <w:tc>
          <w:tcPr>
            <w:tcW w:type="dxa" w:w="4110"/>
            <w:tcMar>
              <w:top w:type="dxa" w:w="80"/>
              <w:left w:type="dxa" w:w="120"/>
              <w:bottom w:type="dxa" w:w="80"/>
              <w:right w:type="dxa" w:w="120"/>
            </w:tcMar>
          </w:tcPr>
          <w:p>
            <w:pPr>
              <w:spacing w:after="0" w:line="260"/>
            </w:pPr>
            <w:r>
              <w:rPr>
                <w:rFonts w:ascii="Calibri" w:cs="Calibri" w:eastAsia="Calibri" w:hAnsi="Calibri"/>
                <w:color w:val="172B3A"/>
                <w:sz w:val="18"/>
                <w:szCs w:val="18"/>
              </w:rPr>
              <w:t xml:space="preserve">Training, documentation and customer sign-off</w:t>
            </w:r>
          </w:p>
        </w:tc>
      </w:tr>
    </w:tbl>
    <w:p>
      <w:pPr>
        <w:pStyle w:val="Heading1"/>
        <w:keepNext/>
        <w:spacing w:after="200" w:before="360"/>
      </w:pPr>
      <w:r>
        <w:rPr>
          <w:rFonts w:ascii="Calibri" w:cs="Calibri" w:eastAsia="Calibri" w:hAnsi="Calibri"/>
          <w:b/>
          <w:bCs/>
          <w:color w:val="2E74B5"/>
          <w:sz w:val="32"/>
          <w:szCs w:val="32"/>
        </w:rPr>
        <w:t xml:space="preserve">Responsibilities and Dependencies</w:t>
      </w:r>
    </w:p>
    <w:p>
      <w:pPr>
        <w:pStyle w:val="Heading2"/>
        <w:keepNext/>
        <w:spacing w:after="120" w:before="240"/>
      </w:pPr>
      <w:r>
        <w:rPr>
          <w:rFonts w:ascii="Calibri" w:cs="Calibri" w:eastAsia="Calibri" w:hAnsi="Calibri"/>
          <w:b/>
          <w:bCs/>
          <w:color w:val="08223A"/>
          <w:sz w:val="26"/>
          <w:szCs w:val="26"/>
        </w:rPr>
        <w:t xml:space="preserve">Responsibilities</w:t>
      </w:r>
    </w:p>
    <w:p>
      <w:pPr>
        <w:pStyle w:val="ListParagraph"/>
        <w:numPr>
          <w:ilvl w:val="0"/>
          <w:numId w:val="2"/>
        </w:numPr>
        <w:spacing w:after="80" w:line="290"/>
      </w:pPr>
      <w:r>
        <w:rPr>
          <w:rFonts w:ascii="Calibri" w:cs="Calibri" w:eastAsia="Calibri" w:hAnsi="Calibri"/>
          <w:color w:val="172B3A"/>
          <w:sz w:val="22"/>
          <w:szCs w:val="22"/>
        </w:rPr>
        <w:t xml:space="preserve">Supplier: provide the listed WyreStorm equipment and product documentation.</w:t>
      </w:r>
    </w:p>
    <w:p>
      <w:pPr>
        <w:pStyle w:val="ListParagraph"/>
        <w:numPr>
          <w:ilvl w:val="0"/>
          <w:numId w:val="2"/>
        </w:numPr>
        <w:spacing w:after="80" w:line="290"/>
      </w:pPr>
      <w:r>
        <w:rPr>
          <w:rFonts w:ascii="Calibri" w:cs="Calibri" w:eastAsia="Calibri" w:hAnsi="Calibri"/>
          <w:color w:val="172B3A"/>
          <w:sz w:val="22"/>
          <w:szCs w:val="22"/>
        </w:rPr>
        <w:t xml:space="preserve">Integrator: confirm final design, install, configure, test and commission the complete system.</w:t>
      </w:r>
    </w:p>
    <w:p>
      <w:pPr>
        <w:pStyle w:val="ListParagraph"/>
        <w:numPr>
          <w:ilvl w:val="0"/>
          <w:numId w:val="2"/>
        </w:numPr>
        <w:spacing w:after="80" w:line="290"/>
      </w:pPr>
      <w:r>
        <w:rPr>
          <w:rFonts w:ascii="Calibri" w:cs="Calibri" w:eastAsia="Calibri" w:hAnsi="Calibri"/>
          <w:color w:val="172B3A"/>
          <w:sz w:val="22"/>
          <w:szCs w:val="22"/>
        </w:rPr>
        <w:t xml:space="preserve">Customer / IT: confirm network, security, access, room and operational requirements.</w:t>
      </w:r>
    </w:p>
    <w:p>
      <w:pPr>
        <w:pStyle w:val="Heading2"/>
        <w:keepNext/>
        <w:spacing w:after="120" w:before="240"/>
      </w:pPr>
      <w:r>
        <w:rPr>
          <w:rFonts w:ascii="Calibri" w:cs="Calibri" w:eastAsia="Calibri" w:hAnsi="Calibri"/>
          <w:b/>
          <w:bCs/>
          <w:color w:val="08223A"/>
          <w:sz w:val="26"/>
          <w:szCs w:val="26"/>
        </w:rPr>
        <w:t xml:space="preserve">Dependencies</w:t>
      </w:r>
    </w:p>
    <w:p>
      <w:pPr>
        <w:pStyle w:val="ListParagraph"/>
        <w:numPr>
          <w:ilvl w:val="0"/>
          <w:numId w:val="2"/>
        </w:numPr>
        <w:spacing w:after="80" w:line="290"/>
      </w:pPr>
      <w:r>
        <w:rPr>
          <w:rFonts w:ascii="Calibri" w:cs="Calibri" w:eastAsia="Calibri" w:hAnsi="Calibri"/>
          <w:color w:val="172B3A"/>
          <w:sz w:val="22"/>
          <w:szCs w:val="22"/>
        </w:rPr>
        <w:t xml:space="preserve">NET-SWITCH-10G-MANAGED</w:t>
      </w:r>
    </w:p>
    <w:p>
      <w:pPr>
        <w:pStyle w:val="Heading1"/>
        <w:keepNext/>
        <w:spacing w:after="200" w:before="360"/>
      </w:pPr>
      <w:r>
        <w:rPr>
          <w:rFonts w:ascii="Calibri" w:cs="Calibri" w:eastAsia="Calibri" w:hAnsi="Calibri"/>
          <w:b/>
          <w:bCs/>
          <w:color w:val="2E74B5"/>
          <w:sz w:val="32"/>
          <w:szCs w:val="32"/>
        </w:rPr>
        <w:t xml:space="preserve">Assumptions, Risks and Exclusions</w:t>
      </w:r>
    </w:p>
    <w:p>
      <w:pPr>
        <w:pStyle w:val="Heading2"/>
        <w:keepNext/>
        <w:spacing w:after="120" w:before="240"/>
      </w:pPr>
      <w:r>
        <w:rPr>
          <w:rFonts w:ascii="Calibri" w:cs="Calibri" w:eastAsia="Calibri" w:hAnsi="Calibri"/>
          <w:b/>
          <w:bCs/>
          <w:color w:val="08223A"/>
          <w:sz w:val="26"/>
          <w:szCs w:val="26"/>
        </w:rPr>
        <w:t xml:space="preserve">Assumptions</w:t>
      </w:r>
    </w:p>
    <w:p>
      <w:pPr>
        <w:pStyle w:val="ListParagraph"/>
        <w:numPr>
          <w:ilvl w:val="0"/>
          <w:numId w:val="2"/>
        </w:numPr>
        <w:spacing w:after="80" w:line="290"/>
      </w:pPr>
      <w:r>
        <w:rPr>
          <w:rFonts w:ascii="Calibri" w:cs="Calibri" w:eastAsia="Calibri" w:hAnsi="Calibri"/>
          <w:color w:val="172B3A"/>
          <w:sz w:val="22"/>
          <w:szCs w:val="22"/>
        </w:rPr>
        <w:t xml:space="preserve">Customer IT will provide a dedicated 10GbE AV VLAN.</w:t>
      </w:r>
    </w:p>
    <w:p>
      <w:pPr>
        <w:pStyle w:val="Heading2"/>
        <w:keepNext/>
        <w:spacing w:after="120" w:before="240"/>
      </w:pPr>
      <w:r>
        <w:rPr>
          <w:rFonts w:ascii="Calibri" w:cs="Calibri" w:eastAsia="Calibri" w:hAnsi="Calibri"/>
          <w:b/>
          <w:bCs/>
          <w:color w:val="08223A"/>
          <w:sz w:val="26"/>
          <w:szCs w:val="26"/>
        </w:rPr>
        <w:t xml:space="preserve">Open risks and validation</w:t>
      </w:r>
    </w:p>
    <w:p>
      <w:pPr>
        <w:pStyle w:val="ListParagraph"/>
        <w:numPr>
          <w:ilvl w:val="0"/>
          <w:numId w:val="2"/>
        </w:numPr>
        <w:spacing w:after="80" w:line="290"/>
      </w:pPr>
      <w:r>
        <w:rPr>
          <w:rFonts w:ascii="Calibri" w:cs="Calibri" w:eastAsia="Calibri" w:hAnsi="Calibri"/>
          <w:color w:val="172B3A"/>
          <w:sz w:val="22"/>
          <w:szCs w:val="22"/>
        </w:rPr>
        <w:t xml:space="preserve">Confirm redundant power and switch failover behaviour during commissioning.</w:t>
      </w:r>
    </w:p>
    <w:p>
      <w:pPr>
        <w:pStyle w:val="Heading1"/>
        <w:keepNext/>
        <w:spacing w:after="200" w:before="360"/>
      </w:pPr>
      <w:r>
        <w:rPr>
          <w:rFonts w:ascii="Calibri" w:cs="Calibri" w:eastAsia="Calibri" w:hAnsi="Calibri"/>
          <w:b/>
          <w:bCs/>
          <w:color w:val="2E74B5"/>
          <w:sz w:val="32"/>
          <w:szCs w:val="32"/>
        </w:rPr>
        <w:t xml:space="preserve">Next Steps</w:t>
      </w:r>
    </w:p>
    <w:p>
      <w:pPr>
        <w:pStyle w:val="ListParagraph"/>
        <w:numPr>
          <w:ilvl w:val="0"/>
          <w:numId w:val="2"/>
        </w:numPr>
        <w:spacing w:after="80" w:line="290"/>
      </w:pPr>
      <w:r>
        <w:rPr>
          <w:rFonts w:ascii="Calibri" w:cs="Calibri" w:eastAsia="Calibri" w:hAnsi="Calibri"/>
          <w:color w:val="172B3A"/>
          <w:sz w:val="22"/>
          <w:szCs w:val="22"/>
        </w:rPr>
        <w:t xml:space="preserve">Confirm the customer and project details.</w:t>
      </w:r>
    </w:p>
    <w:p>
      <w:pPr>
        <w:pStyle w:val="ListParagraph"/>
        <w:numPr>
          <w:ilvl w:val="0"/>
          <w:numId w:val="2"/>
        </w:numPr>
        <w:spacing w:after="80" w:line="290"/>
      </w:pPr>
      <w:r>
        <w:rPr>
          <w:rFonts w:ascii="Calibri" w:cs="Calibri" w:eastAsia="Calibri" w:hAnsi="Calibri"/>
          <w:color w:val="172B3A"/>
          <w:sz w:val="22"/>
          <w:szCs w:val="22"/>
        </w:rPr>
        <w:t xml:space="preserve">Approve the proposed architecture and product schedule.</w:t>
      </w:r>
    </w:p>
    <w:p>
      <w:pPr>
        <w:pStyle w:val="ListParagraph"/>
        <w:numPr>
          <w:ilvl w:val="0"/>
          <w:numId w:val="2"/>
        </w:numPr>
        <w:spacing w:after="80" w:line="290"/>
      </w:pPr>
      <w:r>
        <w:rPr>
          <w:rFonts w:ascii="Calibri" w:cs="Calibri" w:eastAsia="Calibri" w:hAnsi="Calibri"/>
          <w:color w:val="172B3A"/>
          <w:sz w:val="22"/>
          <w:szCs w:val="22"/>
        </w:rPr>
        <w:t xml:space="preserve">Resolve the listed validation items.</w:t>
      </w:r>
    </w:p>
    <w:p>
      <w:pPr>
        <w:pStyle w:val="ListParagraph"/>
        <w:numPr>
          <w:ilvl w:val="0"/>
          <w:numId w:val="2"/>
        </w:numPr>
        <w:spacing w:after="80" w:line="290"/>
      </w:pPr>
      <w:r>
        <w:rPr>
          <w:rFonts w:ascii="Calibri" w:cs="Calibri" w:eastAsia="Calibri" w:hAnsi="Calibri"/>
          <w:color w:val="172B3A"/>
          <w:sz w:val="22"/>
          <w:szCs w:val="22"/>
        </w:rPr>
        <w:t xml:space="preserve">Issue the final commercial quotation and implementation programme.</w:t>
      </w:r>
    </w:p>
    <w:p>
      <w:pPr>
        <w:spacing w:after="160" w:line="320"/>
      </w:pPr>
      <w:r>
        <w:rPr>
          <w:rFonts w:ascii="Calibri" w:cs="Calibri" w:eastAsia="Calibri" w:hAnsi="Calibri"/>
          <w:color w:val="5E7280"/>
          <w:sz w:val="22"/>
          <w:szCs w:val="22"/>
        </w:rPr>
        <w:t xml:space="preserve">Quotation validity: 30 days from the proposal date, subject to stock and written confirmation.</w:t>
      </w:r>
    </w:p>
    <w:p>
      <w:pPr>
        <w:pStyle w:val="Heading1"/>
        <w:keepNext/>
        <w:spacing w:after="200" w:before="360"/>
      </w:pPr>
      <w:r>
        <w:rPr>
          <w:rFonts w:ascii="Calibri" w:cs="Calibri" w:eastAsia="Calibri" w:hAnsi="Calibri"/>
          <w:b/>
          <w:bCs/>
          <w:color w:val="2E74B5"/>
          <w:sz w:val="32"/>
          <w:szCs w:val="32"/>
        </w:rPr>
        <w:t xml:space="preserve">Best-Efforts Disclaimer</w:t>
      </w:r>
    </w:p>
    <w:p>
      <w:pPr>
        <w:spacing w:after="160" w:line="320"/>
        <w:jc w:val="both"/>
      </w:pPr>
      <w:r>
        <w:rPr>
          <w:rFonts w:ascii="Calibri" w:cs="Calibri" w:eastAsia="Calibri" w:hAnsi="Calibri"/>
          <w:color w:val="5E7280"/>
          <w:sz w:val="22"/>
          <w:szCs w:val="22"/>
        </w:rPr>
        <w:t xml:space="preserve">This document has been prepared on a best-efforts basis to support your sales and design process. Product specifications, compatibility, lifecycle status, regional availability, pricing and lead times must be verified against the current WyreStorm documentation, datasheet or order desk before this document is used as a quotation, order or statement of capability. Competitor information is approximate and provided only to start a comparison conversation. Wingman provides no warranty and accepts no liability for any errors, omissions or reliance on the content of this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7280"/>
        <w:sz w:val="16"/>
        <w:szCs w:val="16"/>
      </w:rPr>
      <w:t xml:space="preserve">Northstar parity evidence fixture  |  Page </w:t>
    </w:r>
    <w:r>
      <w:rPr>
        <w:rFonts w:ascii="Calibri" w:cs="Calibri" w:eastAsia="Calibri" w:hAnsi="Calibri"/>
        <w:color w:val="5E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60" w:line="320"/>
      <w:jc w:val="right"/>
    </w:pPr>
    <w:r>
      <w:rPr>
        <w:rFonts w:ascii="Calibri" w:cs="Calibri" w:eastAsia="Calibri" w:hAnsi="Calibri"/>
        <w:color w:val="5E7280"/>
        <w:sz w:val="17"/>
        <w:szCs w:val="17"/>
      </w:rPr>
      <w:t xml:space="preserve">WyreStorm  |  WM-PARITY-001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290"/>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B3A"/>
        <w:sz w:val="22"/>
        <w:szCs w:val="22"/>
      </w:rPr>
    </w:rPrDefault>
    <w:pPrDefault>
      <w:pPr>
        <w:spacing w:after="16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Operations Room - Blended commercial and technical proposal</dc:title>
  <dc:subject>WyreStorm audio visual proposal</dc:subject>
  <dc:creator>Solutions Team</dc:creator>
  <cp:lastModifiedBy>Un-named</cp:lastModifiedBy>
  <cp:revision>1</cp:revision>
  <dcterms:created xsi:type="dcterms:W3CDTF">2026-09-11T06:09:48.130Z</dcterms:created>
  <dcterms:modified xsi:type="dcterms:W3CDTF">2026-09-11T06:09:48.130Z</dcterms:modified>
</cp:coreProperties>
</file>

<file path=docProps/custom.xml><?xml version="1.0" encoding="utf-8"?>
<Properties xmlns="http://schemas.openxmlformats.org/officeDocument/2006/custom-properties" xmlns:vt="http://schemas.openxmlformats.org/officeDocument/2006/docPropsVTypes"/>
</file>