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7 of 16 runs are confirmed from governed product data; 9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control protocol (RS-232/IR/IP), baud rate, pinout, cable routing, and control processor compatibility.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Define who operates the room and convert engineering routes into user-friendly presets.</w:t>
            </w:r>
          </w:p>
        </w:tc>
      </w:tr>
    </w:tbl>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4-7</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8-10</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11-12</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routing, control, audio, USB and failover</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13-14</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2026-09-15T05:16:29.220Z</dcterms:created>
  <dcterms:modified xsi:type="dcterms:W3CDTF">2026-09-15T05:16:29.220Z</dcterms:modified>
</cp:coreProperties>
</file>

<file path=docProps/custom.xml><?xml version="1.0" encoding="utf-8"?>
<Properties xmlns="http://schemas.openxmlformats.org/officeDocument/2006/custom-properties" xmlns:vt="http://schemas.openxmlformats.org/officeDocument/2006/docPropsVTypes"/>
</file>