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pPr>
        <w:pStyle w:val="Heading2"/>
        <w:keepNext/>
        <w:spacing w:after="120" w:before="240"/>
      </w:pPr>
      <w:r>
        <w:rPr>
          <w:rFonts w:ascii="Calibri" w:cs="Calibri" w:eastAsia="Calibri" w:hAnsi="Calibri"/>
          <w:b/>
          <w:bCs/>
          <w:color w:val="08223A"/>
          <w:sz w:val="26"/>
          <w:szCs w:val="26"/>
        </w:rPr>
        <w:t xml:space="preserve">Document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000"/>
        <w:gridCol w:w="6360"/>
      </w:tblGrid>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Reference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WM-PARITY-001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Status</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Draft proposal — subject to design and commercial approval</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Prepared by</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Solutions Team</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Issue date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2026-09-11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Revision</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2026-10-29T09:28:08.908Z</w:t>
            </w:r>
          </w:p>
        </w:tc>
      </w:tr>
    </w:tbl>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Room at a glance</w:t>
      </w:r>
    </w:p>
    <w:p>
      <w:pPr>
        <w:spacing w:after="160" w:line="320"/>
      </w:pPr>
      <w:r>
        <w:rPr>
          <w:rFonts w:ascii="Calibri" w:cs="Calibri" w:eastAsia="Calibri" w:hAnsi="Calibri"/>
          <w:b/>
          <w:bCs/>
          <w:color w:val="172B3A"/>
          <w:sz w:val="22"/>
          <w:szCs w:val="22"/>
        </w:rPr>
        <w:t xml:space="preserve">Operations room</w:t>
      </w:r>
    </w:p>
    <w:p>
      <w:pPr>
        <w:spacing w:after="160" w:line="320"/>
      </w:pPr>
      <w:r>
        <w:rPr>
          <w:rFonts w:ascii="Calibri" w:cs="Calibri" w:eastAsia="Calibri" w:hAnsi="Calibri"/>
          <w:color w:val="172B3A"/>
          <w:sz w:val="22"/>
          <w:szCs w:val="22"/>
        </w:rPr>
        <w:t xml:space="preserve">Route two operator sources to four displays with resilient 4K distribution.</w:t>
      </w:r>
    </w:p>
    <w:p>
      <w:pPr>
        <w:pStyle w:val="Heading2"/>
        <w:keepNext/>
        <w:spacing w:after="120" w:before="240"/>
      </w:pPr>
      <w:r>
        <w:rPr>
          <w:rFonts w:ascii="Calibri" w:cs="Calibri" w:eastAsia="Calibri" w:hAnsi="Calibri"/>
          <w:b/>
          <w:bCs/>
          <w:color w:val="08223A"/>
          <w:sz w:val="26"/>
          <w:szCs w:val="26"/>
        </w:rPr>
        <w:t xml:space="preserve">Room and design details</w:t>
      </w:r>
    </w:p>
    <w:p>
      <w:pPr>
        <w:spacing w:after="160" w:line="320"/>
      </w:pPr>
      <w:r>
        <w:rPr>
          <w:rFonts w:ascii="Calibri" w:cs="Calibri" w:eastAsia="Calibri" w:hAnsi="Calibri"/>
          <w:color w:val="172B3A"/>
          <w:sz w:val="22"/>
          <w:szCs w:val="22"/>
        </w:rPr>
        <w:t xml:space="preserve">Room dimensions, capacity and site conditions require confirmation.</w:t>
      </w:r>
    </w:p>
    <w:p>
      <w:pPr>
        <w:pStyle w:val="Heading2"/>
        <w:keepNext/>
        <w:spacing w:after="120" w:before="240"/>
      </w:pPr>
      <w:r>
        <w:rPr>
          <w:rFonts w:ascii="Calibri" w:cs="Calibri" w:eastAsia="Calibri" w:hAnsi="Calibri"/>
          <w:b/>
          <w:bCs/>
          <w:color w:val="08223A"/>
          <w:sz w:val="26"/>
          <w:szCs w:val="26"/>
        </w:rPr>
        <w:t xml:space="preserve">What this space delivers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2"/>
        <w:keepNext/>
        <w:spacing w:after="120" w:before="240"/>
      </w:pPr>
      <w:r>
        <w:rPr>
          <w:rFonts w:ascii="Calibri" w:cs="Calibri" w:eastAsia="Calibri" w:hAnsi="Calibri"/>
          <w:b/>
          <w:bCs/>
          <w:color w:val="08223A"/>
          <w:sz w:val="26"/>
          <w:szCs w:val="26"/>
        </w:rPr>
        <w:t xml:space="preserve">In this room</w:t>
      </w:r>
    </w:p>
    <w:p>
      <w:pPr>
        <w:spacing w:after="160" w:line="320"/>
      </w:pPr>
      <w:r>
        <w:rPr>
          <w:rFonts w:ascii="Calibri" w:cs="Calibri" w:eastAsia="Calibri" w:hAnsi="Calibri"/>
          <w:color w:val="172B3A"/>
          <w:sz w:val="22"/>
          <w:szCs w:val="22"/>
        </w:rPr>
        <w:t xml:space="preserve">Items are grouped by the job each one does in the room, and the number matches the equipment schedule further on. Anything marked optional is still your decision, and work by others is listed under Complete System Design and Responsibilities.</w:t>
      </w:r>
    </w:p>
    <w:p>
      <w:pPr>
        <w:pStyle w:val="Heading2"/>
        <w:keepNext/>
        <w:spacing w:after="120" w:before="240"/>
      </w:pPr>
      <w:r>
        <w:rPr>
          <w:rFonts w:ascii="Calibri" w:cs="Calibri" w:eastAsia="Calibri" w:hAnsi="Calibri"/>
          <w:b/>
          <w:bCs/>
          <w:color w:val="08223A"/>
          <w:sz w:val="26"/>
          <w:szCs w:val="26"/>
        </w:rPr>
        <w:t xml:space="preserve">Encode operator sources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encoder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Decode display feeds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decoder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4</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Routing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3</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1"/>
        <w:keepNext/>
        <w:spacing w:after="200" w:before="360"/>
      </w:pPr>
      <w:r>
        <w:rPr>
          <w:rFonts w:ascii="Calibri" w:cs="Calibri" w:eastAsia="Calibri" w:hAnsi="Calibri"/>
          <w:b/>
          <w:bCs/>
          <w:color w:val="2E74B5"/>
          <w:sz w:val="32"/>
          <w:szCs w:val="32"/>
        </w:rPr>
        <w:t xml:space="preserve">Solution Overview</w:t>
      </w:r>
    </w:p>
    <w:p>
      <w:pPr>
        <w:spacing w:after="160" w:line="320"/>
        <w:jc w:val="both"/>
      </w:pPr>
      <w:r>
        <w:rPr>
          <w:rFonts w:ascii="Calibri" w:cs="Calibri" w:eastAsia="Calibri" w:hAnsi="Calibri"/>
          <w:color w:val="172B3A"/>
          <w:sz w:val="22"/>
          <w:szCs w:val="22"/>
        </w:rPr>
        <w:t xml:space="preserve">NetworkHD 600 resilient AV-over-IP fabric</w:t>
      </w:r>
    </w:p>
    <w:p>
      <w:pPr>
        <w:pStyle w:val="Heading2"/>
        <w:keepNext/>
        <w:spacing w:after="120" w:before="240"/>
      </w:pPr>
      <w:r>
        <w:rPr>
          <w:rFonts w:ascii="Calibri" w:cs="Calibri" w:eastAsia="Calibri" w:hAnsi="Calibri"/>
          <w:b/>
          <w:bCs/>
          <w:color w:val="08223A"/>
          <w:sz w:val="26"/>
          <w:szCs w:val="26"/>
        </w:rPr>
        <w:t xml:space="preserve">How the solution will work</w:t>
      </w:r>
    </w:p>
    <w:p>
      <w:pPr>
        <w:spacing w:after="160" w:line="320"/>
      </w:pPr>
      <w:r>
        <w:rPr>
          <w:rFonts w:ascii="Calibri" w:cs="Calibri" w:eastAsia="Calibri" w:hAnsi="Calibri"/>
          <w:color w:val="172B3A"/>
          <w:sz w:val="22"/>
          <w:szCs w:val="22"/>
        </w:rPr>
        <w:t xml:space="preserve">1. 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What successful delivery looks like</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Below is the conversation this proposal is based on: the question we asked, the answer we recorded, and your own words where we captured them. "Confirmed with customer" means we checked that point with you; "To be confirmed" means it is still open and will be settled before the design is signed off.</w:t>
      </w:r>
    </w:p>
    <w:p>
      <w:pPr>
        <w:spacing w:after="160" w:line="320"/>
        <w:jc w:val="both"/>
      </w:pPr>
      <w:r>
        <w:rPr>
          <w:rFonts w:ascii="Calibri" w:cs="Calibri" w:eastAsia="Calibri" w:hAnsi="Calibri"/>
          <w:color w:val="5E7280"/>
          <w:sz w:val="18"/>
          <w:szCs w:val="18"/>
        </w:rPr>
        <w:t xml:space="preserve">"Capture confidence" shows how closely your own words matched the answer we recorded. High confidence is a close match. Matched is a close match to a standard phrase. Low confidence — verify before quote is a partial match we will check with you before quoting. The number in brackets is the match score.</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cantSplit/>
          <w:tblHeader/>
        </w:trPr>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Answer we recorded</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Capture confidence</w:t>
            </w:r>
          </w:p>
        </w:tc>
      </w:tr>
      <w:tr>
        <w:trPr>
          <w:cantSplit/>
        </w:trPr>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If a row has a note but no clear answer, that point was still open when this was written and will be confirmed before the design is signed 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What You Asked For and How We Designed It</w:t>
      </w:r>
    </w:p>
    <w:p>
      <w:pPr>
        <w:spacing w:after="160" w:line="320"/>
      </w:pPr>
      <w:r>
        <w:rPr>
          <w:rFonts w:ascii="Calibri" w:cs="Calibri" w:eastAsia="Calibri" w:hAnsi="Calibri"/>
          <w:color w:val="5E7280"/>
          <w:sz w:val="22"/>
          <w:szCs w:val="22"/>
        </w:rPr>
        <w:t xml:space="preserve">This proposal does not include a design trace. It was prepared before Wingman recorded one, so the design described above remains the basis of this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what we discussed.</w:t>
      </w:r>
    </w:p>
    <w:p>
      <w:pPr>
        <w:pStyle w:val="ListParagraph"/>
        <w:numPr>
          <w:ilvl w:val="0"/>
          <w:numId w:val="2"/>
        </w:numPr>
        <w:spacing w:after="80" w:line="290"/>
      </w:pPr>
      <w:r>
        <w:rPr>
          <w:rFonts w:ascii="Calibri" w:cs="Calibri" w:eastAsia="Calibri" w:hAnsi="Calibri"/>
          <w:color w:val="172B3A"/>
          <w:sz w:val="22"/>
          <w:szCs w:val="22"/>
        </w:rPr>
        <w:t xml:space="preserve">A plain explanation of how the recommended system works.</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Display Schedule</w:t>
      </w:r>
    </w:p>
    <w:p>
      <w:pPr>
        <w:spacing w:after="160" w:line="320"/>
        <w:jc w:val="both"/>
      </w:pPr>
      <w:r>
        <w:rPr>
          <w:rFonts w:ascii="Calibri" w:cs="Calibri" w:eastAsia="Calibri" w:hAnsi="Calibri"/>
          <w:color w:val="172B3A"/>
          <w:sz w:val="22"/>
          <w:szCs w:val="22"/>
        </w:rPr>
        <w:t xml:space="preserve">4 displays in scope, each driven by one feed.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20"/>
        <w:gridCol w:w="1683"/>
        <w:gridCol w:w="1414"/>
        <w:gridCol w:w="2087"/>
        <w:gridCol w:w="2156"/>
      </w:tblGrid>
      <w:tr>
        <w:trPr>
          <w:cantSplit/>
          <w:tblHeader/>
        </w:trPr>
        <w:tc>
          <w:tcPr>
            <w:tcW w:type="dxa" w:w="202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Screen</w:t>
            </w:r>
          </w:p>
        </w:tc>
        <w:tc>
          <w:tcPr>
            <w:tcW w:type="dxa" w:w="1683"/>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Resolution</w:t>
            </w:r>
          </w:p>
        </w:tc>
        <w:tc>
          <w:tcPr>
            <w:tcW w:type="dxa" w:w="1414"/>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Feeds</w:t>
            </w:r>
          </w:p>
        </w:tc>
        <w:tc>
          <w:tcPr>
            <w:tcW w:type="dxa" w:w="2087"/>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Scaling</w:t>
            </w:r>
          </w:p>
        </w:tc>
        <w:tc>
          <w:tcPr>
            <w:tcW w:type="dxa" w:w="2156"/>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Notes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1</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2</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3</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4</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bl>
    <w:p>
      <w:pPr>
        <w:spacing w:after="160" w:line="320"/>
      </w:pPr>
      <w:r>
        <w:rPr>
          <w:rFonts w:ascii="Calibri" w:cs="Calibri" w:eastAsia="Calibri" w:hAnsi="Calibri"/>
          <w:color w:val="5E7280"/>
          <w:sz w:val="18"/>
          <w:szCs w:val="18"/>
        </w:rPr>
        <w:t xml:space="preserve">Basis: Native resolution, feed count and scaling are confirmed when the display models are recorded.</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cantSplit/>
          <w:tblHeader/>
        </w:trPr>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4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keepNext/>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cantSplit/>
          <w:tblHeader/>
        </w:trPr>
        <w:tc>
          <w:tcPr>
            <w:tcW w:type="dxa" w:w="3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Commercial status</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Complete System Design and Responsibilities</w:t>
      </w:r>
    </w:p>
    <w:p>
      <w:pPr>
        <w:spacing w:after="160" w:line="320"/>
      </w:pPr>
      <w:r>
        <w:rPr>
          <w:rFonts w:ascii="Calibri" w:cs="Calibri" w:eastAsia="Calibri" w:hAnsi="Calibri"/>
          <w:color w:val="172B3A"/>
          <w:sz w:val="22"/>
          <w:szCs w:val="22"/>
        </w:rPr>
        <w:t xml:space="preserve">The items below complete the wider solution. Each one is still open: none of it is equipment or work included in this proposal, and we will agree the owner, detail and commercial treatment with you before it is issued.</w:t>
      </w:r>
    </w:p>
    <w:p>
      <w:pPr>
        <w:pStyle w:val="ListParagraph"/>
        <w:numPr>
          <w:ilvl w:val="0"/>
          <w:numId w:val="2"/>
        </w:numPr>
        <w:spacing w:after="80" w:line="290"/>
      </w:pPr>
      <w:r>
        <w:rPr>
          <w:rFonts w:ascii="Calibri" w:cs="Calibri" w:eastAsia="Calibri" w:hAnsi="Calibri"/>
          <w:color w:val="172B3A"/>
          <w:sz w:val="22"/>
          <w:szCs w:val="22"/>
        </w:rPr>
        <w:t xml:space="preserve">Displays | Operator displays — Confirm size and mounting. | Qty 4 | Responsibility: Integrator | Scope status: allowance</w:t>
      </w:r>
    </w:p>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is one part of the complete AV solution. The equipment and delivery tasks below still need an owner and a price before we can issue a final quotation. A TBC in this table is an allowance to be agreed, not a price included in the total.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cantSplit/>
          <w:tblHeader/>
        </w:trPr>
        <w:tc>
          <w:tcPr>
            <w:tcW w:type="dxa" w:w="15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Price / allowance</w:t>
            </w:r>
          </w:p>
        </w:tc>
      </w:tr>
      <w:tr>
        <w:trPr>
          <w:cantSplit/>
        </w:trPr>
        <w:tc>
          <w:tcPr>
            <w:tcW w:type="dxa" w:w="15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Displays</w:t>
            </w:r>
          </w:p>
        </w:tc>
        <w:tc>
          <w:tcPr>
            <w:tcW w:type="dxa" w:w="337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 — Confirm size and mounting. — Scope status: allowance</w:t>
            </w:r>
          </w:p>
        </w:tc>
        <w:tc>
          <w:tcPr>
            <w:tcW w:type="dxa" w:w="8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209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p>
      <w:pPr>
        <w:spacing w:after="160" w:line="320"/>
      </w:pPr>
      <w:r>
        <w:rPr>
          <w:rFonts w:ascii="Calibri" w:cs="Calibri" w:eastAsia="Calibri" w:hAnsi="Calibri"/>
          <w:color w:val="5E7280"/>
          <w:sz w:val="22"/>
          <w:szCs w:val="22"/>
        </w:rPr>
        <w:t xml:space="preserve">Concept signal-flow diagram: confirm physical connections, cable routes, third-party interfaces and operating modes before installation.</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System function</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sources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encoders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10GbE network</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decoders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system, built from the equipment schedule. Each row gives the cable type, maximum length, connectors and what still needs checking. 0 of 14 runs are confirmed from WyreStorm product data; 14 need checking on site; 0 are not confirmed yet.</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cantSplit/>
          <w:tblHeader/>
        </w:trPr>
        <w:tc>
          <w:tcPr>
            <w:tcW w:type="dxa" w:w="2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Validation reminder</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1 (confirm) → NHD-600-E-TX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2 (confirm) → NHD-600-E-TX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1</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2</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3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4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5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6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7</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1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2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3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4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bl>
    <w:p>
      <w:pPr>
        <w:pStyle w:val="Heading1"/>
        <w:keepNext/>
        <w:spacing w:after="200" w:before="360"/>
      </w:pPr>
      <w:r>
        <w:rPr>
          <w:rFonts w:ascii="Calibri" w:cs="Calibri" w:eastAsia="Calibri" w:hAnsi="Calibri"/>
          <w:b/>
          <w:bCs/>
          <w:color w:val="2E74B5"/>
          <w:sz w:val="32"/>
          <w:szCs w:val="32"/>
        </w:rPr>
        <w:t xml:space="preserve">Products in the Solution</w:t>
      </w:r>
    </w:p>
    <w:p>
      <w:pPr>
        <w:pStyle w:val="Heading2"/>
        <w:keepNext/>
        <w:spacing w:after="120" w:before="240"/>
      </w:pPr>
      <w:r>
        <w:rPr>
          <w:rFonts w:ascii="Calibri" w:cs="Calibri" w:eastAsia="Calibri" w:hAnsi="Calibri"/>
          <w:b/>
          <w:bCs/>
          <w:color w:val="08223A"/>
          <w:sz w:val="26"/>
          <w:szCs w:val="26"/>
        </w:rPr>
        <w:t xml:space="preserve">NHD-600-E-TX — NetworkHD 600 encoder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Encode operator sources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NHD-600-E-RX — NetworkHD 600 decoder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Decode display feeds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NHD-CTL-PRO-V2 — NetworkHD controller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Routing control</w:t>
      </w:r>
    </w:p>
    <w:p>
      <w:pPr>
        <w:spacing w:after="160" w:line="320"/>
      </w:pPr>
      <w:r>
        <w:rPr>
          <w:rFonts w:ascii="Calibri" w:cs="Calibri" w:eastAsia="Calibri" w:hAnsi="Calibri"/>
          <w:color w:val="5E7280"/>
          <w:sz w:val="22"/>
          <w:szCs w:val="22"/>
        </w:rPr>
        <w:t xml:space="preserve">Official product link to be confirmed.</w:t>
      </w:r>
    </w:p>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figures below come from WyreStorm product data for each selected product. They are the maximum the published specification states, and should be checked against the current datasheet before ordering.</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cantSplit/>
          <w:tblHeader/>
        </w:trPr>
        <w:tc>
          <w:tcPr>
            <w:tcW w:type="dxa" w:w="2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Power data (WyreStorm)</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802.3at PoE+</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802.3at PoE+</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NHD-600-E-TX, NHD-600-E-RX,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Dependency / output</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room, cable routes, network, power and access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Subject to stock and site readiness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 / trades complete by-others scope</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Validate agreed routing, control, audio and USB workflows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2026-09-11T12:00:00.000Z</dcterms:created>
  <dcterms:modified xsi:type="dcterms:W3CDTF">2026-09-11T12:00:00.000Z</dcterms:modified>
</cp:coreProperties>
</file>

<file path=docProps/custom.xml><?xml version="1.0" encoding="utf-8"?>
<Properties xmlns="http://schemas.openxmlformats.org/officeDocument/2006/custom-properties" xmlns:vt="http://schemas.openxmlformats.org/officeDocument/2006/docPropsVTypes"/>
</file>