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2"/>
          <w:sz w:val="40"/>
          <w:szCs w:val="40"/>
        </w:rPr>
        <w:t xml:space="preserve">Wingman — Product Knowledge &amp; Competitor Compare</w:t>
      </w:r>
    </w:p>
    <w:p>
      <w:pPr>
        <w:spacing w:after="80"/>
      </w:pPr>
      <w:r>
        <w:rPr>
          <w:color w:val="555555"/>
          <w:sz w:val="24"/>
          <w:szCs w:val="24"/>
        </w:rPr>
        <w:t xml:space="preserve">An honest professional audit: product database accuracy, competitor matching, sales language, and conversation-card tone alignment</w:t>
      </w:r>
    </w:p>
    <w:p>
      <w:pPr>
        <w:spacing w:after="360"/>
      </w:pPr>
      <w:r>
        <w:rPr>
          <w:color w:val="888888"/>
          <w:sz w:val="20"/>
          <w:szCs w:val="20"/>
        </w:rPr>
        <w:t xml:space="preserve">Prepared for Steve Goodwin  •  8 June 2026</w:t>
      </w:r>
    </w:p>
    <w:p>
      <w:pPr>
        <w:pStyle w:val="Heading1"/>
      </w:pPr>
      <w:r>
        <w:t xml:space="preserve">Executive summary</w:t>
      </w:r>
    </w:p>
    <w:p>
      <w:pPr>
        <w:spacing w:after="160"/>
      </w:pPr>
      <w:r>
        <w:t xml:space="preserve">Wingman's underlying WyreStorm product knowledge base is genuinely strong in places — each product record carries a structured ‘salesLanguage’ block written in three audience voices (end user, consultant, system integrator/installer), with discovery questions, talk tracks and ‘do not position as’ guardrails. That is the right foundation for a sales-coaching tool.</w:t>
      </w:r>
    </w:p>
    <w:p>
      <w:pPr>
        <w:spacing w:after="160"/>
      </w:pPr>
      <w:r>
        <w:t xml:space="preserve">However, three issues sit between that foundation and a tool a salesperson can trust under pressure on a live call:</w:t>
      </w:r>
    </w:p>
    <w:p>
      <w:pPr>
        <w:pStyle w:val="ListParagraph"/>
        <w:numPr>
          <w:ilvl w:val="0"/>
          <w:numId w:val="2"/>
        </w:numPr>
        <w:spacing w:after="80"/>
      </w:pPr>
      <w:r>
        <w:t xml:space="preserve">The physical I/O and connector data that the database captures is extracted automatically from web copy and is, in a meaningful proportion of products, wrong, duplicated, or padded with accessories (brackets, power supplies, cables, quick-start guides counted as ‘ports’). This data is not yet reliable enough to recall or quote from memory in front of a customer.</w:t>
      </w:r>
    </w:p>
    <w:p>
      <w:pPr>
        <w:pStyle w:val="ListParagraph"/>
        <w:numPr>
          <w:ilvl w:val="0"/>
          <w:numId w:val="2"/>
        </w:numPr>
        <w:spacing w:after="80"/>
      </w:pPr>
      <w:r>
        <w:t xml:space="preserve">The Competitor Compare engine — arguably Wingman's most consequential feature, because it is what a salesperson reaches for when asked ‘what's your equivalent to brand X?’ — does not actually rank candidates by I/O port count or matched feature set, despite that being the most natural, defensible way to answer that question. It ranks on regex-detected keyword classes, and only ~35 competitor SKUs hold verified datasheet specs out of a much larger universe of competitor products it can be asked about.</w:t>
      </w:r>
    </w:p>
    <w:p>
      <w:pPr>
        <w:pStyle w:val="ListParagraph"/>
        <w:numPr>
          <w:ilvl w:val="0"/>
          <w:numId w:val="2"/>
        </w:numPr>
        <w:spacing w:after="80"/>
      </w:pPr>
      <w:r>
        <w:t xml:space="preserve">Four different, overlapping audience/tone taxonomies exist across the app (three-, four- and five-way variants of ‘end user / dealer / consultant / integrator / internal’). The brief calls for conversation cards to be built around three established conversation tones — at present the app does not consistently agree with itself on what those three are.</w:t>
      </w:r>
    </w:p>
    <w:p>
      <w:pPr>
        <w:spacing w:after="160"/>
      </w:pPr>
      <w:r>
        <w:t xml:space="preserve">The detail, evidence and a prioritised set of fixes follow. Section 6 is a single table that can be used as a punch list.</w:t>
      </w:r>
    </w:p>
    <w:p>
      <w:pPr>
        <w:pStyle w:val="Heading1"/>
      </w:pPr>
      <w:r>
        <w:t xml:space="preserve">1. The WyreStorm product database — structure and accuracy</w:t>
      </w:r>
    </w:p>
    <w:p>
      <w:pPr>
        <w:spacing w:after="160"/>
      </w:pPr>
      <w:r>
        <w:t xml:space="preserve">The core file (data/wyrestorm-product-intelligence.json, ~265 products, ~11 MB) is rich and well designed at the level of sales narrative. Each product carries a classification tree (category → family → sub-type) with a confidence score, a ‘technicalProfile’ split into audio/video/USB/network/control sections, and a ‘salesLanguage’ block with three audience voices, discovery prompts, talk tracks, and explicit ‘avoid positioning as’ statements. This is exactly the shape of data a coaching tool needs, and it is the part of Wingman that is closest to ready.</w:t>
      </w:r>
    </w:p>
    <w:p>
      <w:pPr>
        <w:spacing w:after="160"/>
      </w:pPr>
      <w:r>
        <w:rPr>
          <w:b/>
          <w:bCs/>
        </w:rPr>
        <w:t xml:space="preserve">The weak point is the physical layer — the very thing the brief asks to be ‘clearly identified and recalled when needed’: I/O ports and physical connections, held in technicalProfile.io.ports. It has been built by scraping marketing copy rather than datasheets. Examples pulled directly from the live database:</w:t>
      </w:r>
    </w:p>
    <w:p>
      <w:pPr>
        <w:pStyle w:val="ListParagraph"/>
        <w:numPr>
          <w:ilvl w:val="0"/>
          <w:numId w:val="3"/>
        </w:numPr>
        <w:spacing w:after="80"/>
      </w:pPr>
      <w:r>
        <w:t xml:space="preserve">Accessories counted as ports — the NHD-CTL-PRO v2 controller record lists ‘2x NHD-000-RACK4 Brackets’, ‘4x Wall Brackets’ and ‘1x QuickStart Guide’ as I/O ‘ports’ alongside its RJ45 and Phoenix connectors.</w:t>
      </w:r>
    </w:p>
    <w:p>
      <w:pPr>
        <w:pStyle w:val="ListParagraph"/>
        <w:numPr>
          <w:ilvl w:val="0"/>
          <w:numId w:val="3"/>
        </w:numPr>
        <w:spacing w:after="80"/>
      </w:pPr>
      <w:r>
        <w:t xml:space="preserve">Mangled connector names — the cable record EXP-8KUHD-X shows a connector literally named ‘EXP-8KUHD-x Cable 1x EXP-8KUHD-x Cable’ (the product name has been concatenated with its own count string).</w:t>
      </w:r>
    </w:p>
    <w:p>
      <w:pPr>
        <w:pStyle w:val="ListParagraph"/>
        <w:numPr>
          <w:ilvl w:val="0"/>
          <w:numId w:val="3"/>
        </w:numPr>
        <w:spacing w:after="80"/>
      </w:pPr>
      <w:r>
        <w:t xml:space="preserve">Wrong category assigned to a clearly described spec — the CAM-200-PTZ camera's ‘12x optical and 4x digital zoom’ specification has been filed as a video output port with connector type ‘SFP / fibre’. It is an optical zoom ratio, not a fibre connection.</w:t>
      </w:r>
    </w:p>
    <w:p>
      <w:pPr>
        <w:pStyle w:val="ListParagraph"/>
        <w:numPr>
          <w:ilvl w:val="0"/>
          <w:numId w:val="3"/>
        </w:numPr>
        <w:spacing w:after="80"/>
      </w:pPr>
      <w:r>
        <w:t xml:space="preserve">Direction guesses that don't hold up — RS-232 control lines and bidirectional Phoenix passthroughs are tagged ‘direction: output’; many records show ‘direction: unspecified’ throughout.</w:t>
      </w:r>
    </w:p>
    <w:p>
      <w:pPr>
        <w:pStyle w:val="ListParagraph"/>
        <w:numPr>
          <w:ilvl w:val="0"/>
          <w:numId w:val="3"/>
        </w:numPr>
        <w:spacing w:after="80"/>
      </w:pPr>
      <w:r>
        <w:t xml:space="preserve">Empty where it matters — several products that plainly have physical connectors (e.g. the M4300 network switch, the Apollo wireless dongle) show empty io.ports, io.video, io.usb and io.network arrays entirely.</w:t>
      </w:r>
    </w:p>
    <w:p>
      <w:pPr>
        <w:spacing w:after="160"/>
      </w:pPr>
      <w:r>
        <w:t xml:space="preserve">This is not a criticism of building a database this way as a first pass — it's a normal starting point. But in its current state this layer cannot be ‘clearly identified and recalled’ by a salesperson, and (Section 2) it also isn't being used by the very engine that needs it most.</w:t>
      </w:r>
    </w:p>
    <w:p>
      <w:pPr>
        <w:pStyle w:val="Heading2"/>
      </w:pPr>
      <w:r>
        <w:t xml:space="preserve">Recommendation</w:t>
      </w:r>
    </w:p>
    <w:p>
      <w:pPr>
        <w:pStyle w:val="ListParagraph"/>
        <w:numPr>
          <w:ilvl w:val="0"/>
          <w:numId w:val="3"/>
        </w:numPr>
        <w:spacing w:after="80"/>
      </w:pPr>
      <w:r>
        <w:t xml:space="preserve">Treat technicalProfile.io as a draft layer needing verification against official datasheets before it is surfaced as fact. Prioritise the 30–40 highest-quote-volume SKUs first (matrices, extenders, NetworkHD encoders/decoders, presentation switchers) — the products most likely to be compared port-for-port against a competitor.</w:t>
      </w:r>
    </w:p>
    <w:p>
      <w:pPr>
        <w:pStyle w:val="ListParagraph"/>
        <w:numPr>
          <w:ilvl w:val="0"/>
          <w:numId w:val="3"/>
        </w:numPr>
        <w:spacing w:after="80"/>
      </w:pPr>
      <w:r>
        <w:t xml:space="preserve">Separate ‘accessories included in box’ from ‘active I/O ports’ as two distinct fields. Conflating them will produce wrong port counts wherever this data is used for matching or recall.</w:t>
      </w:r>
    </w:p>
    <w:p>
      <w:pPr>
        <w:pStyle w:val="ListParagraph"/>
        <w:numPr>
          <w:ilvl w:val="0"/>
          <w:numId w:val="3"/>
        </w:numPr>
        <w:spacing w:after="80"/>
      </w:pPr>
      <w:r>
        <w:t xml:space="preserve">Add a simple per-record ‘verified’ flag (verified-by / date) so the UI can visually distinguish confirmed specs from auto-extracted drafts — protecting the salesperson from repeating an unverified figure to a customer as fact.</w:t>
      </w:r>
    </w:p>
    <w:p>
      <w:pPr>
        <w:pStyle w:val="Heading1"/>
      </w:pPr>
      <w:r>
        <w:t xml:space="preserve">2. Competitor Compare — the engine behind ‘what's your equivalent to X?’</w:t>
      </w:r>
    </w:p>
    <w:p>
      <w:pPr>
        <w:spacing w:after="160"/>
      </w:pPr>
      <w:r>
        <w:t xml:space="preserve">This is rightly flagged as the highest-stakes feature: it is invoked exactly when a salesperson is on the back foot, asked to name an equivalent to a named competitor product. Getting this wrong in front of a customer costs more credibility than having no answer at all. The audit examined the live code path: ComparePageNew → rigorousCompare → competitorMatchEngine / competitorSpecRegistry / competitorCompareDecision.</w:t>
      </w:r>
    </w:p>
    <w:p>
      <w:pPr>
        <w:pStyle w:val="Heading2"/>
      </w:pPr>
      <w:r>
        <w:t xml:space="preserve">What is working</w:t>
      </w:r>
    </w:p>
    <w:p>
      <w:pPr>
        <w:pStyle w:val="ListParagraph"/>
        <w:numPr>
          <w:ilvl w:val="0"/>
          <w:numId w:val="3"/>
        </w:numPr>
        <w:spacing w:after="80"/>
      </w:pPr>
      <w:r>
        <w:t xml:space="preserve">A real relevance gate (compareCandidateGate.ts) stops obviously wrong product types being offered as a primary equivalent — it explicitly blocks cables, rack brackets, control-app software and audio products from being shortlisted against a non-audio competitor, and vice versa. Sound thinking, and the right instinct.</w:t>
      </w:r>
    </w:p>
    <w:p>
      <w:pPr>
        <w:pStyle w:val="ListParagraph"/>
        <w:numPr>
          <w:ilvl w:val="0"/>
          <w:numId w:val="3"/>
        </w:numPr>
        <w:spacing w:after="80"/>
      </w:pPr>
      <w:r>
        <w:t xml:space="preserve">A second-pass classifier (competitorCompareDecision.ts) produces an honest GOOD MATCH / PARTIAL MATCH / NO MATCH / VERIFY outcome with visible ‘confirmed matches’, ‘gaps to explain’ and ‘verify before quoting’ lists — and it does compare input/output counts where both sides have a number. Showing salespeople the caveats, not just a confident-looking score, is the right instinct and should be kept.</w:t>
      </w:r>
    </w:p>
    <w:p>
      <w:pPr>
        <w:pStyle w:val="Heading2"/>
      </w:pPr>
      <w:r>
        <w:t xml:space="preserve">What is not working — the part the brief is most concerned about</w:t>
      </w:r>
    </w:p>
    <w:p>
      <w:pPr>
        <w:spacing w:after="160"/>
      </w:pPr>
      <w:r>
        <w:t xml:space="preserve">Despite that classifier being able to compare I/O counts, the figures it compares are not reliable, for two compounding reasons:</w:t>
      </w:r>
    </w:p>
    <w:p>
      <w:pPr>
        <w:pStyle w:val="ListParagraph"/>
        <w:numPr>
          <w:ilvl w:val="0"/>
          <w:numId w:val="2"/>
        </w:numPr>
        <w:spacing w:after="80"/>
      </w:pPr>
      <w:r>
        <w:t xml:space="preserve">On the WyreStorm side, the count is not read from the rich, structured technicalProfile.io.ports data described in Section 1. Instead, wyrestormCompareProfile.ts derives it with a single regex — /(\d{1,2})\s*[x×]\s*(\d{1,2})/ — run across the product's name, description, tags and family text, looking for a pattern like ‘8x8’. That will catch a genuine matrix switcher (‘8x8 HDMI Matrix’) but will just as easily misread an unrelated number pairing in marketing copy, and it returns nothing at all for the majority of products (extenders, encoders, switchers, cameras, amplifiers) whose I/O is described in prose, not as ‘N x M’. The structured port array that already exists — with connector type, direction and category — is never consulted by this code path.</w:t>
      </w:r>
    </w:p>
    <w:p>
      <w:pPr>
        <w:pStyle w:val="ListParagraph"/>
        <w:numPr>
          <w:ilvl w:val="0"/>
          <w:numId w:val="2"/>
        </w:numPr>
        <w:spacing w:after="80"/>
      </w:pPr>
      <w:r>
        <w:t xml:space="preserve">On the competitor side, structured specs (including verified input/output counts) exist for only 35 curated SKU ‘fingerprints’ (competitorSpecRegistry.ts): Crestron DM-NVX, Extron NAV/DTP, and a handful of Atlona, Kramer, Lightware and Blustream models. Outside that list the engine falls back to family-rule estimates or to whatever the salesperson typed, producing the ‘SKU only’ / ‘family-rule estimate’ tiers visible in the UI.</w:t>
      </w:r>
    </w:p>
    <w:p>
      <w:pPr>
        <w:spacing w:after="160"/>
      </w:pPr>
      <w:r>
        <w:t xml:space="preserve">The practical effect: for the great majority of real ‘what's your equivalent to …’ questions, Compare is not actually ranking by I/O port match or specific feature match — the brief's central requirement — because neither side of the comparison reliably has port-level data to rank on. What the salesperson sees instead is a class-and-role match (‘same technology class’, ‘same role’) plus limited keyword overlap (4K, HDR, USB-C, Dante, and roughly 30 other fixed terms scanned by regex), wrapped in honest caveats telling them to go and verify the very thing they came to Wingman to get an answer on.</w:t>
      </w:r>
    </w:p>
    <w:p>
      <w:pPr>
        <w:pStyle w:val="Heading2"/>
      </w:pPr>
      <w:r>
        <w:t xml:space="preserve">A second, smaller risk worth flagging</w:t>
      </w:r>
    </w:p>
    <w:p>
      <w:pPr>
        <w:spacing w:after="160"/>
      </w:pPr>
      <w:r>
        <w:t xml:space="preserve">Two separate compare implementations exist in the codebase — ComparePage.tsx (1,581 lines) and the live-routed ComparePageNew.tsx (509 lines, calling rigorousCompare). The older page is not wired into routes.tsx but remains in the source tree with its own copy of the matching logic — worth a clean-up pass so a future change doesn't land in the page nobody sees.</w:t>
      </w:r>
    </w:p>
    <w:p>
      <w:pPr>
        <w:pStyle w:val="Heading2"/>
      </w:pPr>
      <w:r>
        <w:t xml:space="preserve">Recommendation</w:t>
      </w:r>
    </w:p>
    <w:p>
      <w:pPr>
        <w:pStyle w:val="ListParagraph"/>
        <w:numPr>
          <w:ilvl w:val="0"/>
          <w:numId w:val="3"/>
        </w:numPr>
        <w:spacing w:after="80"/>
      </w:pPr>
      <w:r>
        <w:t xml:space="preserve">Re-point the WyreStorm side of the comparison at the structured technicalProfile.io.ports data (once cleaned per Section 1), counting by connector category — HDMI in/out, HDBaseT, USB, Ethernet, Dante/AES67, control — rather than a single ‘input/output’ total. This is what ‘rank by number of I/O ports’ actually requires, and matches how an installer or consultant will interrogate the comparison.</w:t>
      </w:r>
    </w:p>
    <w:p>
      <w:pPr>
        <w:pStyle w:val="ListParagraph"/>
        <w:numPr>
          <w:ilvl w:val="0"/>
          <w:numId w:val="3"/>
        </w:numPr>
        <w:spacing w:after="80"/>
      </w:pPr>
      <w:r>
        <w:t xml:space="preserve">Grow the curated competitor spec registry deliberately, prioritised by which competitor brands/models salespeople are actually asked about most — Crestron DM-NVX, Extron NAV/DTP and Atlona Omega look like the natural starting set from the existing seed data. 35 fingerprints is a good start but a small fraction of the field.</w:t>
      </w:r>
    </w:p>
    <w:p>
      <w:pPr>
        <w:pStyle w:val="ListParagraph"/>
        <w:numPr>
          <w:ilvl w:val="0"/>
          <w:numId w:val="3"/>
        </w:numPr>
        <w:spacing w:after="80"/>
      </w:pPr>
      <w:r>
        <w:t xml:space="preserve">Make the ‘confidence tier’ (‘Specs from datasheet’ / ‘Family-rule estimate’ / ‘SKU only’) the most visually prominent thing on a result card, ahead of the match percentage — a salesperson glancing at the screen mid-call needs to instantly know whether they're looking at a confirmed answer or a guess.</w:t>
      </w:r>
    </w:p>
    <w:p>
      <w:pPr>
        <w:pStyle w:val="ListParagraph"/>
        <w:numPr>
          <w:ilvl w:val="0"/>
          <w:numId w:val="3"/>
        </w:numPr>
        <w:spacing w:after="80"/>
      </w:pPr>
      <w:r>
        <w:t xml:space="preserve">Retire ComparePage.tsx (the unrouted legacy page) once confirmed superseded, to remove the risk of edits landing in the wrong file.</w:t>
      </w:r>
    </w:p>
    <w:p>
      <w:pPr>
        <w:pStyle w:val="Heading1"/>
      </w:pPr>
      <w:r>
        <w:t xml:space="preserve">3. Product copy: is it written from the customer's-benefit point of view?</w:t>
      </w:r>
    </w:p>
    <w:p>
      <w:pPr>
        <w:spacing w:after="160"/>
      </w:pPr>
      <w:r>
        <w:rPr>
          <w:b/>
          <w:bCs/>
        </w:rPr>
        <w:t xml:space="preserve">This is the area where Wingman is furthest along. Each product's salesLanguage block already separates ‘what it does’ from ‘why the end user should care’, per audience. For example, the AMP-2120-DNT amplifier's end-user voice reads:</w:t>
      </w:r>
    </w:p>
    <w:p>
      <w:pPr>
        <w:spacing w:after="160"/>
        <w:ind w:left="480"/>
      </w:pPr>
      <w:r>
        <w:rPr>
          <w:i/>
          <w:iCs/>
          <w:color w:val="555555"/>
        </w:rPr>
        <w:t xml:space="preserve">“It helps the room sound clear and controlled, which matters as much as the image in meetings and teaching spaces.” — with the explicit instruction ‘Keep the language about outcomes and the user experience before talking about ports.’</w:t>
      </w:r>
    </w:p>
    <w:p>
      <w:pPr>
        <w:spacing w:after="160"/>
      </w:pPr>
      <w:r>
        <w:t xml:space="preserve">That is precisely the customer-benefit framing the brief asks for, and it already exists for all 265 products, in three voices, with built-in discipline against leading with specs. The curated Product Positioning Cards (productPositioningCards.ts) go further — for each SKU they hold opening questions, qualification questions, listen-for triggers, objection handling and explicit ‘do not present this as’ disqualifiers, again broken out per audience (distributor, dealer, integrator, consultant, end user).</w:t>
      </w:r>
    </w:p>
    <w:p>
      <w:pPr>
        <w:pStyle w:val="Heading2"/>
      </w:pPr>
      <w:r>
        <w:t xml:space="preserve">Screen direction text — is it addressed to the salesperson?</w:t>
      </w:r>
    </w:p>
    <w:p>
      <w:pPr>
        <w:spacing w:after="160"/>
      </w:pPr>
      <w:r>
        <w:t xml:space="preserve">Yes. In the pages reviewed (Sales Helper, Discovery, Finder, Call Cards) the on-screen instructional copy consistently speaks to the salesperson as the user of the tool — e.g. ‘Sales Helper now starts from the call situation rather than showing a static wall of text boxes’, ‘Copy this into an email, proposal note, CRM record’, ‘Choose a quick-start path … then move through each step’. The conversational ‘openers’ on Call Cards (e.g. ‘Let's check what needs to feed it, control it and make it useful every day’) are correctly framed as scripts for the salesperson to say to the customer, not as instructions to the customer — that distinction is being respected.</w:t>
      </w:r>
    </w:p>
    <w:p>
      <w:pPr>
        <w:pStyle w:val="Heading2"/>
      </w:pPr>
      <w:r>
        <w:t xml:space="preserve">The one inconsistency worth fixing</w:t>
      </w:r>
    </w:p>
    <w:p>
      <w:pPr>
        <w:spacing w:after="160"/>
      </w:pPr>
      <w:r>
        <w:t xml:space="preserve">The audience labels themselves are not consistent between where the language is generated and where it's consumed (this overlaps with Section 4) — salesLanguage.voices uses ‘endUser / consultant / systemIntegrator’, while the UI components and page-level audience selectors use four or five different label sets. None of the actual customer-facing language is wrong; the risk is that new content gets authored against a different audience model than the one already proven across 265 products.</w:t>
      </w:r>
    </w:p>
    <w:p>
      <w:pPr>
        <w:pStyle w:val="Heading2"/>
      </w:pPr>
      <w:r>
        <w:t xml:space="preserve">Recommendation</w:t>
      </w:r>
    </w:p>
    <w:p>
      <w:pPr>
        <w:pStyle w:val="ListParagraph"/>
        <w:numPr>
          <w:ilvl w:val="0"/>
          <w:numId w:val="3"/>
        </w:numPr>
        <w:spacing w:after="80"/>
      </w:pPr>
      <w:r>
        <w:t xml:space="preserve">Keep the existing salesLanguage voice content and structure — it is doing the job the brief describes and should be the template for any new product copy, not replaced.</w:t>
      </w:r>
    </w:p>
    <w:p>
      <w:pPr>
        <w:pStyle w:val="ListParagraph"/>
        <w:numPr>
          <w:ilvl w:val="0"/>
          <w:numId w:val="3"/>
        </w:numPr>
        <w:spacing w:after="80"/>
      </w:pPr>
      <w:r>
        <w:t xml:space="preserve">Standardise every audience-facing surface in the app on the same three labels and keys (see Section 4) so content authored once can be reused everywhere without translation.</w:t>
      </w:r>
    </w:p>
    <w:p>
      <w:pPr>
        <w:pStyle w:val="Heading1"/>
      </w:pPr>
      <w:r>
        <w:t xml:space="preserve">4. Conversation cards and the three conversation tones</w:t>
      </w:r>
    </w:p>
    <w:p>
      <w:pPr>
        <w:spacing w:after="160"/>
      </w:pPr>
      <w:r>
        <w:t xml:space="preserve">The brief asks for conversation cards to be focused on ‘the three conversation tones previously introduced’. Wingman does have a canonical three-tone definition — salesConversationTone.ts defines exactly three: Dealer / installer (‘trade’), End user (‘user’), and Technical consultant (‘consultant’), each with a one-line description of the language style to use. That is a clean, usable definition and matches the brief well.</w:t>
      </w:r>
    </w:p>
    <w:p>
      <w:pPr>
        <w:spacing w:after="160"/>
      </w:pPr>
      <w:r>
        <w:t xml:space="preserve">The problem is that this canonical set is not what the rest of the app actually uses. The audit found four overlapping but different audience/tone groupings live in the codebase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c>
          <w:tcPr>
            <w:tcW w:type="dxa" w:w="270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Where defined</w:t>
            </w:r>
          </w:p>
        </w:tc>
        <w:tc>
          <w:tcPr>
            <w:tcW w:type="dxa" w:w="396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Audience / tone set used</w:t>
            </w:r>
          </w:p>
        </w:tc>
        <w:tc>
          <w:tcPr>
            <w:tcW w:type="dxa" w:w="270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Count</w:t>
            </w:r>
          </w:p>
        </w:tc>
      </w:tr>
      <w:tr>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salesConversationTone.ts
(canonical — has a UI control)</w:t>
            </w:r>
          </w:p>
        </w:tc>
        <w:tc>
          <w:tcPr>
            <w:tcW w:type="dxa" w:w="396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trade ‘Dealer / installer’, user ‘End user’, consultant ‘Technical consultant’</w:t>
            </w:r>
          </w:p>
        </w:tc>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3</w:t>
            </w:r>
          </w:p>
        </w:tc>
      </w:tr>
      <w:tr>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CallCardsPage.tsx ‘AUDIENCES’
(used by the conversation cards)</w:t>
            </w:r>
          </w:p>
        </w:tc>
        <w:tc>
          <w:tcPr>
            <w:tcW w:type="dxa" w:w="396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End user, Dealer / reseller, Consultant / designer, Internal sales / pre-sales</w:t>
            </w:r>
          </w:p>
        </w:tc>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4</w:t>
            </w:r>
          </w:p>
        </w:tc>
      </w:tr>
      <w:tr>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productPositioning.ts ‘WingmanAudience’
(drives positioning-card audience notes)</w:t>
            </w:r>
          </w:p>
        </w:tc>
        <w:tc>
          <w:tcPr>
            <w:tcW w:type="dxa" w:w="396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DISTRIBUTOR, DEALER, INTEGRATOR, CONSULTANT, END_USER</w:t>
            </w:r>
          </w:p>
        </w:tc>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5</w:t>
            </w:r>
          </w:p>
        </w:tc>
      </w:tr>
      <w:tr>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audienceProfiles.ts ‘WingmanAudienceMode’
(drives the coaching panel)</w:t>
            </w:r>
          </w:p>
        </w:tc>
        <w:tc>
          <w:tcPr>
            <w:tcW w:type="dxa" w:w="396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dealer ‘Dealer / distributor’, technicalConsultant ‘Technical consultant / integrator’, endUser ‘End-user / customer’</w:t>
            </w:r>
          </w:p>
        </w:tc>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3</w:t>
            </w:r>
          </w:p>
        </w:tc>
      </w:tr>
      <w:tr>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salesLanguage.voices in the product database
(per-product content, 265 records)</w:t>
            </w:r>
          </w:p>
        </w:tc>
        <w:tc>
          <w:tcPr>
            <w:tcW w:type="dxa" w:w="396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endUser, consultant, systemIntegrator</w:t>
            </w:r>
          </w:p>
        </w:tc>
        <w:tc>
          <w:tcPr>
            <w:tcW w:type="dxa" w:w="27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20"/>
                <w:szCs w:val="20"/>
              </w:rPr>
              <w:t xml:space="preserve">3</w:t>
            </w:r>
          </w:p>
        </w:tc>
      </w:tr>
    </w:tbl>
    <w:p>
      <w:pPr>
        <w:spacing w:after="160"/>
      </w:pPr>
    </w:p>
    <w:p>
      <w:pPr>
        <w:spacing w:after="160"/>
      </w:pPr>
      <w:r>
        <w:t xml:space="preserve">Three different files each define their own three-item set with different IDs and labels, plus a fourth, five-item set — none identical to the ‘canonical’ tone definition that salesConversationTone.ts establishes and surfaces via the Sales Tone Quick Setter. The Call Cards page itself — the very feature the brief asks to be focused on the three tones — runs on its own four-item ‘Audiences’ list (End user / Dealer-reseller / Consultant-designer / Internal sales), not on the three-tone definition.</w:t>
      </w:r>
    </w:p>
    <w:p>
      <w:pPr>
        <w:pStyle w:val="Heading2"/>
      </w:pPr>
      <w:r>
        <w:t xml:space="preserve">Recommendation</w:t>
      </w:r>
    </w:p>
    <w:p>
      <w:pPr>
        <w:pStyle w:val="ListParagraph"/>
        <w:numPr>
          <w:ilvl w:val="0"/>
          <w:numId w:val="3"/>
        </w:numPr>
        <w:spacing w:after="80"/>
      </w:pPr>
      <w:r>
        <w:t xml:space="preserve">Pick one of the three-item sets as canonical — salesConversationTone.ts (trade / user / consultant) is the most recently built and already wired to a visible UI control (the Sales Tone Quick Setter), making it the natural anchor — and re-point Call Cards, the product-positioning audience notes, and the coaching-panel audience profiles at it.</w:t>
      </w:r>
    </w:p>
    <w:p>
      <w:pPr>
        <w:pStyle w:val="ListParagraph"/>
        <w:numPr>
          <w:ilvl w:val="0"/>
          <w:numId w:val="3"/>
        </w:numPr>
        <w:spacing w:after="80"/>
      </w:pPr>
      <w:r>
        <w:t xml:space="preserve">Where a fourth ‘internal / pre-sales’ case is genuinely needed (the Call Cards ‘Internal sales / pre-sales’ entry looks like a real, distinct use case — handoff and qualification language rather than customer-facing language), keep it as a clearly separate mode rather than folding it into the three customer-facing conversation tones. Mixing an internal handoff mode in with customer tones is what has caused the proliferation.</w:t>
      </w:r>
    </w:p>
    <w:p>
      <w:pPr>
        <w:pStyle w:val="ListParagraph"/>
        <w:numPr>
          <w:ilvl w:val="0"/>
          <w:numId w:val="3"/>
        </w:numPr>
        <w:spacing w:after="80"/>
      </w:pPr>
      <w:r>
        <w:t xml:space="preserve">Once consolidated, the existing per-product salesLanguage voices (Section 3) can drive conversation-card content directly, rather than each surface inventing its own audience framing — removing duplicated authoring effort.</w:t>
      </w:r>
    </w:p>
    <w:p>
      <w:pPr>
        <w:pStyle w:val="Heading1"/>
      </w:pPr>
      <w:r>
        <w:t xml:space="preserve">5. ‘Pill’ chips that repeat already-selected terms</w:t>
      </w:r>
    </w:p>
    <w:p>
      <w:pPr>
        <w:spacing w:after="160"/>
      </w:pPr>
      <w:r>
        <w:t xml:space="preserve">This was easy to confirm in the code. The Finder results view, for one example, shows the same selected information three times over, in slightly different small rounded badges stacked around a single result card: a ‘Fit score NN%’ pill, a status pill next to the SKU, and a row of up to seven separate tag pills repeating words largely already stated in the product title and one-line summary directly above them. The quick-start filter row, the active-filter summary, and the ‘Best fit: &lt;SKU&gt;’ badge add further small rounded containers nearby, all in the same visual style — making it hard for the eye to tell which pill is an action, which is a status, and which is just a repeated label.</w:t>
      </w:r>
    </w:p>
    <w:p>
      <w:pPr>
        <w:spacing w:after="160"/>
      </w:pPr>
      <w:r>
        <w:t xml:space="preserve">This matches the brief's complaint precisely: these containers consume vertical space and add visual noise without adding new information — the same term already on screen in plain text is repeated in a badge a few pixels away.</w:t>
      </w:r>
    </w:p>
    <w:p>
      <w:pPr>
        <w:pStyle w:val="Heading2"/>
      </w:pPr>
      <w:r>
        <w:t xml:space="preserve">Recommendation</w:t>
      </w:r>
    </w:p>
    <w:p>
      <w:pPr>
        <w:pStyle w:val="ListParagraph"/>
        <w:numPr>
          <w:ilvl w:val="0"/>
          <w:numId w:val="3"/>
        </w:numPr>
        <w:spacing w:after="80"/>
      </w:pPr>
      <w:r>
        <w:t xml:space="preserve">Remove pills that simply restate a value already shown nearby as plain text (e.g. drop the separate tag-pill row where the same descriptors already appear in the product summary line).</w:t>
      </w:r>
    </w:p>
    <w:p>
      <w:pPr>
        <w:pStyle w:val="ListParagraph"/>
        <w:numPr>
          <w:ilvl w:val="0"/>
          <w:numId w:val="3"/>
        </w:numPr>
        <w:spacing w:after="80"/>
      </w:pPr>
      <w:r>
        <w:t xml:space="preserve">Reserve the pill/badge treatment for things that are genuinely status or action — e.g. ‘Specs from datasheet’ vs ‘Family-rule estimate’ (Section 2) is exactly the kind of distinction worth a badge, because it changes how much the salesperson should trust what they're reading. A repeated feature tag is not.</w:t>
      </w:r>
    </w:p>
    <w:p>
      <w:pPr>
        <w:pStyle w:val="ListParagraph"/>
        <w:numPr>
          <w:ilvl w:val="0"/>
          <w:numId w:val="3"/>
        </w:numPr>
        <w:spacing w:after="80"/>
      </w:pPr>
      <w:r>
        <w:t xml:space="preserve">Where several short tags genuinely need to appear together (e.g. capability overlap in a comparison result), a single comma-separated line of plain text reads faster than a row of separately bordered pills, and takes less space.</w:t>
      </w:r>
    </w:p>
    <w:p>
      <w:pPr>
        <w:pStyle w:val="Heading1"/>
      </w:pPr>
      <w:r>
        <w:t xml:space="preserve">6. Prioritised punch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80"/>
        <w:gridCol w:w="3180"/>
      </w:tblGrid>
      <w:tr>
        <w:tc>
          <w:tcPr>
            <w:tcW w:type="dxa" w:w="120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Area</w:t>
            </w:r>
          </w:p>
        </w:tc>
        <w:tc>
          <w:tcPr>
            <w:tcW w:type="dxa" w:w="318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Finding</w:t>
            </w:r>
          </w:p>
        </w:tc>
        <w:tc>
          <w:tcPr>
            <w:tcW w:type="dxa" w:w="3180"/>
            <w:tcBorders>
              <w:top w:val="single" w:color="C9D2D8" w:sz="1"/>
              <w:left w:val="single" w:color="C9D2D8" w:sz="1"/>
              <w:bottom w:val="single" w:color="C9D2D8" w:sz="1"/>
              <w:right w:val="single" w:color="C9D2D8" w:sz="1"/>
            </w:tcBorders>
            <w:shd w:fill="1F3A52" w:val="clear"/>
            <w:tcMar>
              <w:top w:type="dxa" w:w="80"/>
              <w:left w:type="dxa" w:w="120"/>
              <w:bottom w:type="dxa" w:w="80"/>
              <w:right w:type="dxa" w:w="120"/>
            </w:tcMar>
          </w:tcPr>
          <w:p>
            <w:r>
              <w:rPr>
                <w:b/>
                <w:bCs/>
                <w:color w:val="FFFFFF"/>
                <w:sz w:val="20"/>
                <w:szCs w:val="20"/>
              </w:rPr>
              <w:t xml:space="preserve">Action</w:t>
            </w:r>
          </w:p>
        </w:tc>
      </w:tr>
      <w:tr>
        <w:tc>
          <w:tcPr>
            <w:tcW w:type="dxa" w:w="1200"/>
            <w:tcBorders>
              <w:top w:val="single" w:color="C9D2D8" w:sz="1"/>
              <w:left w:val="single" w:color="C9D2D8" w:sz="1"/>
              <w:bottom w:val="single" w:color="C9D2D8" w:sz="1"/>
              <w:right w:val="single" w:color="C9D2D8" w:sz="1"/>
            </w:tcBorders>
            <w:shd w:fill="F8D7DA" w:val="clear"/>
            <w:tcMar>
              <w:top w:type="dxa" w:w="80"/>
              <w:left w:type="dxa" w:w="120"/>
              <w:bottom w:type="dxa" w:w="80"/>
              <w:right w:type="dxa" w:w="120"/>
            </w:tcMar>
          </w:tcPr>
          <w:p>
            <w:r>
              <w:rPr>
                <w:b/>
                <w:bCs/>
                <w:sz w:val="20"/>
                <w:szCs w:val="20"/>
              </w:rPr>
              <w:t xml:space="preserve">High</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Compare engine</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Ranking does not use real I/O port counts on either side; only ~35 competitors have verified specs.</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Wire WyreStorm side to cleaned technicalProfile.io.ports; grow the curated competitor spec registry by actual ask-frequency.</w:t>
            </w:r>
          </w:p>
        </w:tc>
      </w:tr>
      <w:tr>
        <w:tc>
          <w:tcPr>
            <w:tcW w:type="dxa" w:w="1200"/>
            <w:tcBorders>
              <w:top w:val="single" w:color="C9D2D8" w:sz="1"/>
              <w:left w:val="single" w:color="C9D2D8" w:sz="1"/>
              <w:bottom w:val="single" w:color="C9D2D8" w:sz="1"/>
              <w:right w:val="single" w:color="C9D2D8" w:sz="1"/>
            </w:tcBorders>
            <w:shd w:fill="F8D7DA" w:val="clear"/>
            <w:tcMar>
              <w:top w:type="dxa" w:w="80"/>
              <w:left w:type="dxa" w:w="120"/>
              <w:bottom w:type="dxa" w:w="80"/>
              <w:right w:type="dxa" w:w="120"/>
            </w:tcMar>
          </w:tcPr>
          <w:p>
            <w:r>
              <w:rPr>
                <w:b/>
                <w:bCs/>
                <w:sz w:val="20"/>
                <w:szCs w:val="20"/>
              </w:rPr>
              <w:t xml:space="preserve">High</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Product database</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Auto-extracted I/O data includes accessories as ports, mangled connector names, wrong categories, missing data on some SKUs.</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Run a verification pass against datasheets, starting with top-quoted families; separate ‘accessories’ from ‘active ports’; add a verified flag.</w:t>
            </w:r>
          </w:p>
        </w:tc>
      </w:tr>
      <w:tr>
        <w:tc>
          <w:tcPr>
            <w:tcW w:type="dxa" w:w="1200"/>
            <w:tcBorders>
              <w:top w:val="single" w:color="C9D2D8" w:sz="1"/>
              <w:left w:val="single" w:color="C9D2D8" w:sz="1"/>
              <w:bottom w:val="single" w:color="C9D2D8" w:sz="1"/>
              <w:right w:val="single" w:color="C9D2D8" w:sz="1"/>
            </w:tcBorders>
            <w:shd w:fill="F8D7DA" w:val="clear"/>
            <w:tcMar>
              <w:top w:type="dxa" w:w="80"/>
              <w:left w:type="dxa" w:w="120"/>
              <w:bottom w:type="dxa" w:w="80"/>
              <w:right w:type="dxa" w:w="120"/>
            </w:tcMar>
          </w:tcPr>
          <w:p>
            <w:r>
              <w:rPr>
                <w:b/>
                <w:bCs/>
                <w:sz w:val="20"/>
                <w:szCs w:val="20"/>
              </w:rPr>
              <w:t xml:space="preserve">High</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Conversation tones</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Four different audience/tone taxonomies in use; Call Cards does not use the canonical three-tone definition.</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Standardise on the trade / user / consultant set from salesConversationTone.ts; keep ‘internal / pre-sales’ as a separate handoff mode.</w:t>
            </w:r>
          </w:p>
        </w:tc>
      </w:tr>
      <w:tr>
        <w:tc>
          <w:tcPr>
            <w:tcW w:type="dxa" w:w="1200"/>
            <w:tcBorders>
              <w:top w:val="single" w:color="C9D2D8" w:sz="1"/>
              <w:left w:val="single" w:color="C9D2D8" w:sz="1"/>
              <w:bottom w:val="single" w:color="C9D2D8" w:sz="1"/>
              <w:right w:val="single" w:color="C9D2D8" w:sz="1"/>
            </w:tcBorders>
            <w:shd w:fill="FFF3CD" w:val="clear"/>
            <w:tcMar>
              <w:top w:type="dxa" w:w="80"/>
              <w:left w:type="dxa" w:w="120"/>
              <w:bottom w:type="dxa" w:w="80"/>
              <w:right w:type="dxa" w:w="120"/>
            </w:tcMar>
          </w:tcPr>
          <w:p>
            <w:r>
              <w:rPr>
                <w:b/>
                <w:bCs/>
                <w:sz w:val="20"/>
                <w:szCs w:val="20"/>
              </w:rPr>
              <w:t xml:space="preserve">Medium</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Compare engine</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The evidence-tier badge (datasheet vs family-rule vs SKU-only) is small; it should be the first thing a salesperson notices.</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Make the evidence-tier indicator the most prominent element on each match card, ahead of the match percentage.</w:t>
            </w:r>
          </w:p>
        </w:tc>
      </w:tr>
      <w:tr>
        <w:tc>
          <w:tcPr>
            <w:tcW w:type="dxa" w:w="1200"/>
            <w:tcBorders>
              <w:top w:val="single" w:color="C9D2D8" w:sz="1"/>
              <w:left w:val="single" w:color="C9D2D8" w:sz="1"/>
              <w:bottom w:val="single" w:color="C9D2D8" w:sz="1"/>
              <w:right w:val="single" w:color="C9D2D8" w:sz="1"/>
            </w:tcBorders>
            <w:shd w:fill="FFF3CD" w:val="clear"/>
            <w:tcMar>
              <w:top w:type="dxa" w:w="80"/>
              <w:left w:type="dxa" w:w="120"/>
              <w:bottom w:type="dxa" w:w="80"/>
              <w:right w:type="dxa" w:w="120"/>
            </w:tcMar>
          </w:tcPr>
          <w:p>
            <w:r>
              <w:rPr>
                <w:b/>
                <w:bCs/>
                <w:sz w:val="20"/>
                <w:szCs w:val="20"/>
              </w:rPr>
              <w:t xml:space="preserve">Medium</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UI clutter</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Pills repeat values already shown as plain text on the same card (tags, fit score, status, best-fit badges).</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Remove restating pills; keep badges only for genuine status/trust signals; render repeated short tags as one text line.</w:t>
            </w:r>
          </w:p>
        </w:tc>
      </w:tr>
      <w:tr>
        <w:tc>
          <w:tcPr>
            <w:tcW w:type="dxa" w:w="1200"/>
            <w:tcBorders>
              <w:top w:val="single" w:color="C9D2D8" w:sz="1"/>
              <w:left w:val="single" w:color="C9D2D8" w:sz="1"/>
              <w:bottom w:val="single" w:color="C9D2D8" w:sz="1"/>
              <w:right w:val="single" w:color="C9D2D8" w:sz="1"/>
            </w:tcBorders>
            <w:shd w:fill="E2EFDA" w:val="clear"/>
            <w:tcMar>
              <w:top w:type="dxa" w:w="80"/>
              <w:left w:type="dxa" w:w="120"/>
              <w:bottom w:type="dxa" w:w="80"/>
              <w:right w:type="dxa" w:w="120"/>
            </w:tcMar>
          </w:tcPr>
          <w:p>
            <w:r>
              <w:rPr>
                <w:b/>
                <w:bCs/>
                <w:sz w:val="20"/>
                <w:szCs w:val="20"/>
              </w:rPr>
              <w:t xml:space="preserve">Low</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Codebase hygiene</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Two parallel Compare page implementations exist in the source tree; only one is routed.</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Remove or archive the unrouted ComparePage.tsx once confirmed superseded by ComparePageNew.tsx.</w:t>
            </w:r>
          </w:p>
        </w:tc>
      </w:tr>
      <w:tr>
        <w:tc>
          <w:tcPr>
            <w:tcW w:type="dxa" w:w="1200"/>
            <w:tcBorders>
              <w:top w:val="single" w:color="C9D2D8" w:sz="1"/>
              <w:left w:val="single" w:color="C9D2D8" w:sz="1"/>
              <w:bottom w:val="single" w:color="C9D2D8" w:sz="1"/>
              <w:right w:val="single" w:color="C9D2D8" w:sz="1"/>
            </w:tcBorders>
            <w:shd w:fill="E2EFDA" w:val="clear"/>
            <w:tcMar>
              <w:top w:type="dxa" w:w="80"/>
              <w:left w:type="dxa" w:w="120"/>
              <w:bottom w:type="dxa" w:w="80"/>
              <w:right w:type="dxa" w:w="120"/>
            </w:tcMar>
          </w:tcPr>
          <w:p>
            <w:r>
              <w:rPr>
                <w:b/>
                <w:bCs/>
                <w:sz w:val="20"/>
                <w:szCs w:val="20"/>
              </w:rPr>
              <w:t xml:space="preserve">Low</w:t>
            </w:r>
          </w:p>
        </w:tc>
        <w:tc>
          <w:tcPr>
            <w:tcW w:type="dxa" w:w="180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bCs/>
                <w:sz w:val="20"/>
                <w:szCs w:val="20"/>
              </w:rPr>
              <w:t xml:space="preserve">Product copy</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Existing per-product salesLanguage voice content is strong but uses different audience keys than the rest of the app.</w:t>
            </w:r>
          </w:p>
        </w:tc>
        <w:tc>
          <w:tcPr>
            <w:tcW w:type="dxa" w:w="3180"/>
            <w:tcBorders>
              <w:top w:val="single" w:color="C9D2D8" w:sz="1"/>
              <w:left w:val="single" w:color="C9D2D8" w:sz="1"/>
              <w:bottom w:val="single" w:color="C9D2D8" w:sz="1"/>
              <w:right w:val="single" w:color="C9D2D8" w:sz="1"/>
            </w:tcBorders>
            <w:tcMar>
              <w:top w:type="dxa" w:w="80"/>
              <w:left w:type="dxa" w:w="120"/>
              <w:bottom w:type="dxa" w:w="80"/>
              <w:right w:type="dxa" w:w="120"/>
            </w:tcMar>
          </w:tcPr>
          <w:p>
            <w:r>
              <w:rPr>
                <w:b w:val="false"/>
                <w:bCs w:val="false"/>
                <w:sz w:val="19"/>
                <w:szCs w:val="19"/>
              </w:rPr>
              <w:t xml:space="preserve">Once tones are standardised (above), re-key salesLanguage.voices to match so content is reusable everywhere.</w:t>
            </w:r>
          </w:p>
        </w:tc>
      </w:tr>
    </w:tbl>
    <w:p>
      <w:pPr>
        <w:pStyle w:val="Heading1"/>
      </w:pPr>
      <w:r>
        <w:t xml:space="preserve">Closing note</w:t>
      </w:r>
    </w:p>
    <w:p>
      <w:pPr>
        <w:spacing w:after="160"/>
      </w:pPr>
      <w:r>
        <w:t xml:space="preserve">The strongest asset uncovered in this audit is the per-product salesLanguage content — three audience voices, discovery prompts, talk tracks and explicit ‘do not position as’ guardrails, already written for all 265 WyreStorm products. That is hard to build, and Wingman already has it. What remains is less about writing new sales copy and more about: getting the physical/technical facts under that copy to a standard where they can be recalled with confidence; making the Compare engine actually use those facts to rank; and getting the rest of the app to agree with itself on the three-tone model the copy was written around in the first 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Wingman Audit — Product Knowledge &amp; Competitor Compare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B587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Wingman — Product Knowledge &amp; Competitor Compare Audit</dc:title>
  <dc:creator>Wingman Audit</dc:creator>
  <cp:lastModifiedBy>Un-named</cp:lastModifiedBy>
  <cp:revision>1</cp:revision>
  <dcterms:created xsi:type="dcterms:W3CDTF">2026-06-08T06:23:45.678Z</dcterms:created>
  <dcterms:modified xsi:type="dcterms:W3CDTF">2026-06-08T06:23:45.678Z</dcterms:modified>
</cp:coreProperties>
</file>

<file path=docProps/custom.xml><?xml version="1.0" encoding="utf-8"?>
<Properties xmlns="http://schemas.openxmlformats.org/officeDocument/2006/custom-properties" xmlns:vt="http://schemas.openxmlformats.org/officeDocument/2006/docPropsVTypes"/>
</file>